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CE8C" w14:textId="77777777" w:rsidR="00DD64F2" w:rsidRDefault="00000000">
      <w:pPr>
        <w:spacing w:after="60"/>
        <w:jc w:val="center"/>
      </w:pPr>
      <w:r>
        <w:rPr>
          <w:b/>
          <w:bCs/>
          <w:sz w:val="28"/>
          <w:szCs w:val="28"/>
        </w:rPr>
        <w:t>Competencia de Aprendizaje de Máquina 2026-10 — Parte 2</w:t>
      </w:r>
    </w:p>
    <w:p w14:paraId="33DBA1A2" w14:textId="77777777" w:rsidR="00DD64F2" w:rsidRDefault="00000000">
      <w:pPr>
        <w:spacing w:after="240"/>
        <w:jc w:val="center"/>
      </w:pPr>
      <w:r>
        <w:rPr>
          <w:color w:val="555555"/>
          <w:sz w:val="24"/>
          <w:szCs w:val="24"/>
        </w:rPr>
        <w:t>Documento de referencias de datos externos y uso de IA generativa</w:t>
      </w:r>
    </w:p>
    <w:p w14:paraId="0BD4965A" w14:textId="77777777" w:rsidR="00DD64F2" w:rsidRPr="005A5059" w:rsidRDefault="00000000">
      <w:pPr>
        <w:pStyle w:val="Ttulo1"/>
        <w:rPr>
          <w:color w:val="auto"/>
        </w:rPr>
      </w:pPr>
      <w:r w:rsidRPr="005A5059">
        <w:rPr>
          <w:color w:val="auto"/>
        </w:rPr>
        <w:t xml:space="preserve">1. Resumen de la solución de Deep </w:t>
      </w:r>
      <w:proofErr w:type="spellStart"/>
      <w:r w:rsidRPr="005A5059">
        <w:rPr>
          <w:color w:val="auto"/>
        </w:rPr>
        <w:t>Learning</w:t>
      </w:r>
      <w:proofErr w:type="spellEnd"/>
    </w:p>
    <w:p w14:paraId="7598ADA5" w14:textId="77777777" w:rsidR="00DD64F2" w:rsidRPr="005A5059" w:rsidRDefault="00000000">
      <w:pPr>
        <w:spacing w:after="120"/>
      </w:pPr>
      <w:r w:rsidRPr="005A5059">
        <w:t>El modelo final es un clasificador de la década de origen de un párrafo, construido por transferencia de aprendizaje sobre BETO (</w:t>
      </w:r>
      <w:proofErr w:type="spellStart"/>
      <w:r w:rsidRPr="005A5059">
        <w:t>dccuchile</w:t>
      </w:r>
      <w:proofErr w:type="spellEnd"/>
      <w:r w:rsidRPr="005A5059">
        <w:t>/</w:t>
      </w:r>
      <w:proofErr w:type="spellStart"/>
      <w:r w:rsidRPr="005A5059">
        <w:t>bert</w:t>
      </w:r>
      <w:proofErr w:type="spellEnd"/>
      <w:r w:rsidRPr="005A5059">
        <w:t>-base-</w:t>
      </w:r>
      <w:proofErr w:type="spellStart"/>
      <w:r w:rsidRPr="005A5059">
        <w:t>spanish</w:t>
      </w:r>
      <w:proofErr w:type="spellEnd"/>
      <w:r w:rsidRPr="005A5059">
        <w:t>-</w:t>
      </w:r>
      <w:proofErr w:type="spellStart"/>
      <w:r w:rsidRPr="005A5059">
        <w:t>wwm-uncased</w:t>
      </w:r>
      <w:proofErr w:type="spellEnd"/>
      <w:r w:rsidRPr="005A5059">
        <w:t xml:space="preserve">), la versión de BERT </w:t>
      </w:r>
      <w:proofErr w:type="spellStart"/>
      <w:r w:rsidRPr="005A5059">
        <w:t>preentrenada</w:t>
      </w:r>
      <w:proofErr w:type="spellEnd"/>
      <w:r w:rsidRPr="005A5059">
        <w:t xml:space="preserve"> exclusivamente en español. Este modelo reemplaza una primera versión basada en </w:t>
      </w:r>
      <w:proofErr w:type="spellStart"/>
      <w:r w:rsidRPr="005A5059">
        <w:t>PlanTL</w:t>
      </w:r>
      <w:proofErr w:type="spellEnd"/>
      <w:r w:rsidRPr="005A5059">
        <w:t>-GOB-ES/</w:t>
      </w:r>
      <w:proofErr w:type="spellStart"/>
      <w:r w:rsidRPr="005A5059">
        <w:t>roberta</w:t>
      </w:r>
      <w:proofErr w:type="spellEnd"/>
      <w:r w:rsidRPr="005A5059">
        <w:t>-base-</w:t>
      </w:r>
      <w:proofErr w:type="spellStart"/>
      <w:r w:rsidRPr="005A5059">
        <w:t>bne</w:t>
      </w:r>
      <w:proofErr w:type="spellEnd"/>
      <w:r w:rsidRPr="005A5059">
        <w:t xml:space="preserve">, que fue descartada al confirmarse que sus archivos de pesos fueron eliminados de </w:t>
      </w:r>
      <w:proofErr w:type="spellStart"/>
      <w:r w:rsidRPr="005A5059">
        <w:t>HuggingFace</w:t>
      </w:r>
      <w:proofErr w:type="spellEnd"/>
      <w:r w:rsidRPr="005A5059">
        <w:t xml:space="preserve"> y el modelo ya no está disponible para su descarga. Sobre el </w:t>
      </w:r>
      <w:proofErr w:type="spellStart"/>
      <w:r w:rsidRPr="005A5059">
        <w:t>backbone</w:t>
      </w:r>
      <w:proofErr w:type="spellEnd"/>
      <w:r w:rsidRPr="005A5059">
        <w:t xml:space="preserve"> BETO </w:t>
      </w:r>
      <w:proofErr w:type="spellStart"/>
      <w:r w:rsidRPr="005A5059">
        <w:t>preentrenado</w:t>
      </w:r>
      <w:proofErr w:type="spellEnd"/>
      <w:r w:rsidRPr="005A5059">
        <w:t xml:space="preserve"> se añade una cabeza de clasificación personalizada que concatena la representación del token [CLS] con un mean-</w:t>
      </w:r>
      <w:proofErr w:type="spellStart"/>
      <w:r w:rsidRPr="005A5059">
        <w:t>pooling</w:t>
      </w:r>
      <w:proofErr w:type="spellEnd"/>
      <w:r w:rsidRPr="005A5059">
        <w:t xml:space="preserve"> enmascarado de todos los tokens, seguida de un MLP (Linear 1536→512 → GELU → </w:t>
      </w:r>
      <w:proofErr w:type="spellStart"/>
      <w:r w:rsidRPr="005A5059">
        <w:t>LayerNorm</w:t>
      </w:r>
      <w:proofErr w:type="spellEnd"/>
      <w:r w:rsidRPr="005A5059">
        <w:t xml:space="preserve"> → </w:t>
      </w:r>
      <w:proofErr w:type="spellStart"/>
      <w:r w:rsidRPr="005A5059">
        <w:t>Dropout</w:t>
      </w:r>
      <w:proofErr w:type="spellEnd"/>
      <w:r w:rsidRPr="005A5059">
        <w:t xml:space="preserve"> → Linear 512→39). Se entrena con </w:t>
      </w:r>
      <w:proofErr w:type="spellStart"/>
      <w:r w:rsidRPr="005A5059">
        <w:t>CrossEntropy</w:t>
      </w:r>
      <w:proofErr w:type="spellEnd"/>
      <w:r w:rsidRPr="005A5059">
        <w:t xml:space="preserve"> + </w:t>
      </w:r>
      <w:proofErr w:type="spellStart"/>
      <w:r w:rsidRPr="005A5059">
        <w:t>label</w:t>
      </w:r>
      <w:proofErr w:type="spellEnd"/>
      <w:r w:rsidRPr="005A5059">
        <w:t xml:space="preserve"> </w:t>
      </w:r>
      <w:proofErr w:type="spellStart"/>
      <w:r w:rsidRPr="005A5059">
        <w:t>smoothing</w:t>
      </w:r>
      <w:proofErr w:type="spellEnd"/>
      <w:r w:rsidRPr="005A5059">
        <w:t xml:space="preserve"> (0.1), tasas de aprendizaje discriminativas (</w:t>
      </w:r>
      <w:proofErr w:type="spellStart"/>
      <w:r w:rsidRPr="005A5059">
        <w:t>backbone</w:t>
      </w:r>
      <w:proofErr w:type="spellEnd"/>
      <w:r w:rsidRPr="005A5059">
        <w:t xml:space="preserve"> 2e-5, cabeza 1e-3), </w:t>
      </w:r>
      <w:proofErr w:type="spellStart"/>
      <w:r w:rsidRPr="005A5059">
        <w:t>scheduler</w:t>
      </w:r>
      <w:proofErr w:type="spellEnd"/>
      <w:r w:rsidRPr="005A5059">
        <w:t xml:space="preserve"> </w:t>
      </w:r>
      <w:proofErr w:type="spellStart"/>
      <w:r w:rsidRPr="005A5059">
        <w:t>cosine</w:t>
      </w:r>
      <w:proofErr w:type="spellEnd"/>
      <w:r w:rsidRPr="005A5059">
        <w:t xml:space="preserve"> con </w:t>
      </w:r>
      <w:proofErr w:type="spellStart"/>
      <w:r w:rsidRPr="005A5059">
        <w:t>warmup</w:t>
      </w:r>
      <w:proofErr w:type="spellEnd"/>
      <w:r w:rsidRPr="005A5059">
        <w:t xml:space="preserve"> y precisión mixta (fp16).</w:t>
      </w:r>
    </w:p>
    <w:p w14:paraId="7D4A808F" w14:textId="77777777" w:rsidR="00DD64F2" w:rsidRPr="005A5059" w:rsidRDefault="00000000">
      <w:pPr>
        <w:spacing w:after="120"/>
      </w:pPr>
      <w:r w:rsidRPr="005A5059">
        <w:t>La elección de BETO (</w:t>
      </w:r>
      <w:proofErr w:type="spellStart"/>
      <w:r w:rsidRPr="005A5059">
        <w:t>dccuchile</w:t>
      </w:r>
      <w:proofErr w:type="spellEnd"/>
      <w:r w:rsidRPr="005A5059">
        <w:t>/</w:t>
      </w:r>
      <w:proofErr w:type="spellStart"/>
      <w:r w:rsidRPr="005A5059">
        <w:t>bert</w:t>
      </w:r>
      <w:proofErr w:type="spellEnd"/>
      <w:r w:rsidRPr="005A5059">
        <w:t>-base-</w:t>
      </w:r>
      <w:proofErr w:type="spellStart"/>
      <w:r w:rsidRPr="005A5059">
        <w:t>spanish</w:t>
      </w:r>
      <w:proofErr w:type="spellEnd"/>
      <w:r w:rsidRPr="005A5059">
        <w:t>-</w:t>
      </w:r>
      <w:proofErr w:type="spellStart"/>
      <w:r w:rsidRPr="005A5059">
        <w:t>wwm-uncased</w:t>
      </w:r>
      <w:proofErr w:type="spellEnd"/>
      <w:r w:rsidRPr="005A5059">
        <w:t xml:space="preserve">) frente al BERT multilingüe de la primera iteración responde a que el corpus es español histórico (siglos XVI–XIX) con ruido de OCR; el vocabulario y la </w:t>
      </w:r>
      <w:proofErr w:type="spellStart"/>
      <w:r w:rsidRPr="005A5059">
        <w:t>tokenización</w:t>
      </w:r>
      <w:proofErr w:type="spellEnd"/>
      <w:r w:rsidRPr="005A5059">
        <w:t xml:space="preserve"> especializados en español capturan mucho mejor la grafía de época, que es la señal más discriminante para datar el texto. El modelo originalmente planeado (</w:t>
      </w:r>
      <w:proofErr w:type="spellStart"/>
      <w:r w:rsidRPr="005A5059">
        <w:t>PlanTL</w:t>
      </w:r>
      <w:proofErr w:type="spellEnd"/>
      <w:r w:rsidRPr="005A5059">
        <w:t>-GOB-ES/</w:t>
      </w:r>
      <w:proofErr w:type="spellStart"/>
      <w:r w:rsidRPr="005A5059">
        <w:t>roberta</w:t>
      </w:r>
      <w:proofErr w:type="spellEnd"/>
      <w:r w:rsidRPr="005A5059">
        <w:t>-base-</w:t>
      </w:r>
      <w:proofErr w:type="spellStart"/>
      <w:r w:rsidRPr="005A5059">
        <w:t>bne</w:t>
      </w:r>
      <w:proofErr w:type="spellEnd"/>
      <w:r w:rsidRPr="005A5059">
        <w:t xml:space="preserve">) fue descartado al verificar que sus pesos fueron eliminados de </w:t>
      </w:r>
      <w:proofErr w:type="spellStart"/>
      <w:r w:rsidRPr="005A5059">
        <w:t>HuggingFace</w:t>
      </w:r>
      <w:proofErr w:type="spellEnd"/>
      <w:r w:rsidRPr="005A5059">
        <w:t xml:space="preserve"> y no están disponibles para descarga.</w:t>
      </w:r>
    </w:p>
    <w:p w14:paraId="2E32E443" w14:textId="77777777" w:rsidR="00DD64F2" w:rsidRPr="005A5059" w:rsidRDefault="00000000">
      <w:pPr>
        <w:pStyle w:val="Ttulo1"/>
        <w:rPr>
          <w:color w:val="auto"/>
        </w:rPr>
      </w:pPr>
      <w:r w:rsidRPr="005A5059">
        <w:rPr>
          <w:color w:val="auto"/>
        </w:rPr>
        <w:t>2. Datos externos utilizados para aumentación</w:t>
      </w:r>
    </w:p>
    <w:p w14:paraId="716BB0FC" w14:textId="77777777" w:rsidR="00DD64F2" w:rsidRPr="005A5059" w:rsidRDefault="00000000">
      <w:pPr>
        <w:spacing w:after="120"/>
      </w:pPr>
      <w:r w:rsidRPr="005A5059">
        <w:t xml:space="preserve">El enunciado permite y recomienda incorporar fuentes abiertas de las épocas correspondientes, siempre que (a) la licencia autorice su uso y distribución, (b) estén correctamente referenciadas y (c) puedan descargarse y verificarse. A </w:t>
      </w:r>
      <w:proofErr w:type="gramStart"/>
      <w:r w:rsidRPr="005A5059">
        <w:t>continuación</w:t>
      </w:r>
      <w:proofErr w:type="gramEnd"/>
      <w:r w:rsidRPr="005A5059">
        <w:t xml:space="preserve"> se documentan las fuentes consideradas, todas de dominio público o con licencia abierta. La estrategia de integración consiste en derivar la década a partir del año de publicación conocido de cada obra, limpiar el texto con el mismo pipeline del notebook y trocearlo en ventanas; estos ejemplos se añaden únicamente al conjunto de entrenamiento, nunca al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4521"/>
        <w:gridCol w:w="1565"/>
        <w:gridCol w:w="1532"/>
      </w:tblGrid>
      <w:tr w:rsidR="00DD64F2" w:rsidRPr="005A5059" w14:paraId="36DAC90E"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B719ACC" w14:textId="77777777" w:rsidR="00DD64F2" w:rsidRPr="005A5059" w:rsidRDefault="00000000">
            <w:r w:rsidRPr="005A5059">
              <w:rPr>
                <w:b/>
                <w:bCs/>
                <w:sz w:val="20"/>
                <w:szCs w:val="20"/>
              </w:rPr>
              <w:t>Fuente</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04C69A3" w14:textId="77777777" w:rsidR="00DD64F2" w:rsidRPr="005A5059" w:rsidRDefault="00000000">
            <w:r w:rsidRPr="005A5059">
              <w:rPr>
                <w:b/>
                <w:bCs/>
                <w:sz w:val="20"/>
                <w:szCs w:val="20"/>
              </w:rPr>
              <w:t>Enlace</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E7D70C6" w14:textId="77777777" w:rsidR="00DD64F2" w:rsidRPr="005A5059" w:rsidRDefault="00000000">
            <w:r w:rsidRPr="005A5059">
              <w:rPr>
                <w:b/>
                <w:bCs/>
                <w:sz w:val="20"/>
                <w:szCs w:val="20"/>
              </w:rPr>
              <w:t>Licencia / términos</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D5C3E9C" w14:textId="77777777" w:rsidR="00DD64F2" w:rsidRPr="005A5059" w:rsidRDefault="00000000">
            <w:r w:rsidRPr="005A5059">
              <w:rPr>
                <w:b/>
                <w:bCs/>
                <w:sz w:val="20"/>
                <w:szCs w:val="20"/>
              </w:rPr>
              <w:t>Uso en el proyecto</w:t>
            </w:r>
          </w:p>
        </w:tc>
      </w:tr>
      <w:tr w:rsidR="00DD64F2" w:rsidRPr="005A5059" w14:paraId="2846A5E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5FE486" w14:textId="77777777" w:rsidR="00DD64F2" w:rsidRPr="005A5059" w:rsidRDefault="00000000">
            <w:r w:rsidRPr="005A5059">
              <w:rPr>
                <w:sz w:val="20"/>
                <w:szCs w:val="20"/>
              </w:rPr>
              <w:t>Project Gutenberg — libros en español</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CE9244" w14:textId="77777777" w:rsidR="00DD64F2" w:rsidRPr="005A5059" w:rsidRDefault="00000000">
            <w:hyperlink r:id="rId7" w:history="1">
              <w:r w:rsidRPr="005A5059">
                <w:rPr>
                  <w:rStyle w:val="Hipervnculo"/>
                  <w:color w:val="auto"/>
                  <w:sz w:val="20"/>
                  <w:szCs w:val="20"/>
                </w:rPr>
                <w:t>https://www.gutenberg.org/browse/languages/es</w:t>
              </w:r>
            </w:hyperlink>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CE0D47" w14:textId="77777777" w:rsidR="00DD64F2" w:rsidRPr="005A5059" w:rsidRDefault="00000000">
            <w:r w:rsidRPr="005A5059">
              <w:rPr>
                <w:sz w:val="20"/>
                <w:szCs w:val="20"/>
              </w:rPr>
              <w:t xml:space="preserve">Dominio público en EE. UU. (Project Gutenberg </w:t>
            </w:r>
            <w:proofErr w:type="spellStart"/>
            <w:r w:rsidRPr="005A5059">
              <w:rPr>
                <w:sz w:val="20"/>
                <w:szCs w:val="20"/>
              </w:rPr>
              <w:t>License</w:t>
            </w:r>
            <w:proofErr w:type="spellEnd"/>
            <w:r w:rsidRPr="005A5059">
              <w:rPr>
                <w:sz w:val="20"/>
                <w:szCs w:val="20"/>
              </w:rPr>
              <w:t>). Verificar estado por obra.</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E02DB6" w14:textId="77777777" w:rsidR="00DD64F2" w:rsidRPr="005A5059" w:rsidRDefault="00000000">
            <w:r w:rsidRPr="005A5059">
              <w:rPr>
                <w:sz w:val="20"/>
                <w:szCs w:val="20"/>
              </w:rPr>
              <w:t>Textos fechados de los siglos XVI–XIX para aumentar clases con menos señal.</w:t>
            </w:r>
          </w:p>
        </w:tc>
      </w:tr>
      <w:tr w:rsidR="00DD64F2" w:rsidRPr="005A5059" w14:paraId="094462E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57D328" w14:textId="77777777" w:rsidR="00DD64F2" w:rsidRPr="005A5059" w:rsidRDefault="00000000">
            <w:r w:rsidRPr="005A5059">
              <w:rPr>
                <w:sz w:val="20"/>
                <w:szCs w:val="20"/>
              </w:rPr>
              <w:t>Wikisource en español</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4C7481" w14:textId="77777777" w:rsidR="00DD64F2" w:rsidRPr="005A5059" w:rsidRDefault="00000000">
            <w:hyperlink r:id="rId8" w:history="1">
              <w:r w:rsidRPr="005A5059">
                <w:rPr>
                  <w:rStyle w:val="Hipervnculo"/>
                  <w:color w:val="auto"/>
                  <w:sz w:val="20"/>
                  <w:szCs w:val="20"/>
                </w:rPr>
                <w:t>https://es.wikisource.org</w:t>
              </w:r>
            </w:hyperlink>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1E63F1" w14:textId="77777777" w:rsidR="00DD64F2" w:rsidRPr="005A5059" w:rsidRDefault="00000000">
            <w:r w:rsidRPr="005A5059">
              <w:rPr>
                <w:sz w:val="20"/>
                <w:szCs w:val="20"/>
              </w:rPr>
              <w:t>Mayoría en dominio público; resto CC BY-SA 4.0.</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ECB764" w14:textId="77777777" w:rsidR="00DD64F2" w:rsidRPr="005A5059" w:rsidRDefault="00000000">
            <w:r w:rsidRPr="005A5059">
              <w:rPr>
                <w:sz w:val="20"/>
                <w:szCs w:val="20"/>
              </w:rPr>
              <w:t>Obras históricas transcritas con fecha de publicación conocida.</w:t>
            </w:r>
          </w:p>
        </w:tc>
      </w:tr>
      <w:tr w:rsidR="00DD64F2" w:rsidRPr="005A5059" w14:paraId="3A1C9E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93F1A5" w14:textId="77777777" w:rsidR="00DD64F2" w:rsidRPr="005A5059" w:rsidRDefault="00000000">
            <w:r w:rsidRPr="005A5059">
              <w:rPr>
                <w:sz w:val="20"/>
                <w:szCs w:val="20"/>
              </w:rPr>
              <w:lastRenderedPageBreak/>
              <w:t>Biblioteca Digital Hispánica (BNE)</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AA0EBA" w14:textId="77777777" w:rsidR="00DD64F2" w:rsidRPr="005A5059" w:rsidRDefault="00000000">
            <w:hyperlink r:id="rId9" w:history="1">
              <w:r w:rsidRPr="005A5059">
                <w:rPr>
                  <w:rStyle w:val="Hipervnculo"/>
                  <w:color w:val="auto"/>
                  <w:sz w:val="20"/>
                  <w:szCs w:val="20"/>
                </w:rPr>
                <w:t>https://bdh.bne.es</w:t>
              </w:r>
            </w:hyperlink>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03A97F" w14:textId="77777777" w:rsidR="00DD64F2" w:rsidRPr="005A5059" w:rsidRDefault="00000000">
            <w:r w:rsidRPr="005A5059">
              <w:rPr>
                <w:sz w:val="20"/>
                <w:szCs w:val="20"/>
              </w:rPr>
              <w:t>Dominio público / reutilización según ficha de cada obra.</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8A4242" w14:textId="77777777" w:rsidR="00DD64F2" w:rsidRPr="005A5059" w:rsidRDefault="00000000">
            <w:r w:rsidRPr="005A5059">
              <w:rPr>
                <w:sz w:val="20"/>
                <w:szCs w:val="20"/>
              </w:rPr>
              <w:t xml:space="preserve">Impresos antiguos digitalizados, útiles por su estilo OCR similar al del </w:t>
            </w:r>
            <w:proofErr w:type="spellStart"/>
            <w:r w:rsidRPr="005A5059">
              <w:rPr>
                <w:sz w:val="20"/>
                <w:szCs w:val="20"/>
              </w:rPr>
              <w:t>dataset</w:t>
            </w:r>
            <w:proofErr w:type="spellEnd"/>
            <w:r w:rsidRPr="005A5059">
              <w:rPr>
                <w:sz w:val="20"/>
                <w:szCs w:val="20"/>
              </w:rPr>
              <w:t>.</w:t>
            </w:r>
          </w:p>
        </w:tc>
      </w:tr>
      <w:tr w:rsidR="00DD64F2" w:rsidRPr="005A5059" w14:paraId="2A0C36D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FECA0C" w14:textId="77777777" w:rsidR="00DD64F2" w:rsidRPr="005A5059" w:rsidRDefault="00000000">
            <w:r w:rsidRPr="005A5059">
              <w:rPr>
                <w:sz w:val="20"/>
                <w:szCs w:val="20"/>
              </w:rPr>
              <w:t>Corpus del Español (M. Davies)</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9A31B6" w14:textId="77777777" w:rsidR="00DD64F2" w:rsidRPr="005A5059" w:rsidRDefault="00000000">
            <w:hyperlink r:id="rId10" w:history="1">
              <w:r w:rsidRPr="005A5059">
                <w:rPr>
                  <w:rStyle w:val="Hipervnculo"/>
                  <w:color w:val="auto"/>
                  <w:sz w:val="20"/>
                  <w:szCs w:val="20"/>
                </w:rPr>
                <w:t>https://www.corpusdelespanol.org</w:t>
              </w:r>
            </w:hyperlink>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71D6A0" w14:textId="77777777" w:rsidR="00DD64F2" w:rsidRPr="005A5059" w:rsidRDefault="00000000">
            <w:r w:rsidRPr="005A5059">
              <w:rPr>
                <w:sz w:val="20"/>
                <w:szCs w:val="20"/>
              </w:rPr>
              <w:t>Uso académico; revisar términos antes de redistribuir.</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43AB36" w14:textId="77777777" w:rsidR="00DD64F2" w:rsidRPr="005A5059" w:rsidRDefault="00000000">
            <w:r w:rsidRPr="005A5059">
              <w:rPr>
                <w:sz w:val="20"/>
                <w:szCs w:val="20"/>
              </w:rPr>
              <w:t>Referencia para frecuencias léxicas por siglo (no se redistribuye el texto).</w:t>
            </w:r>
          </w:p>
        </w:tc>
      </w:tr>
    </w:tbl>
    <w:p w14:paraId="319FE7F6" w14:textId="77777777" w:rsidR="00DD64F2" w:rsidRPr="005A5059" w:rsidRDefault="00000000">
      <w:pPr>
        <w:spacing w:before="120" w:after="120"/>
      </w:pPr>
      <w:r w:rsidRPr="005A5059">
        <w:rPr>
          <w:i/>
          <w:iCs/>
          <w:sz w:val="20"/>
          <w:szCs w:val="20"/>
        </w:rPr>
        <w:t>Nota de reproducibilidad: en el notebook entregado, la incorporación de datos externos está implementada como una sección parametrizable (</w:t>
      </w:r>
      <w:proofErr w:type="spellStart"/>
      <w:r w:rsidRPr="005A5059">
        <w:rPr>
          <w:i/>
          <w:iCs/>
          <w:sz w:val="20"/>
          <w:szCs w:val="20"/>
        </w:rPr>
        <w:t>cfg.USE_EXTERNAL</w:t>
      </w:r>
      <w:proofErr w:type="spellEnd"/>
      <w:r w:rsidRPr="005A5059">
        <w:rPr>
          <w:i/>
          <w:iCs/>
          <w:sz w:val="20"/>
          <w:szCs w:val="20"/>
        </w:rPr>
        <w:t>). Por defecto está desactivada para garantizar que el resultado base sea reproducible sin dependencias de red. Al activarse, cada texto externo se etiqueta con la década derivada de su año de publicación y se documenta la obra concreta empleada.</w:t>
      </w:r>
    </w:p>
    <w:p w14:paraId="5E92A1C1" w14:textId="77777777" w:rsidR="00DD64F2" w:rsidRPr="005A5059" w:rsidRDefault="00000000">
      <w:pPr>
        <w:pStyle w:val="Ttulo1"/>
        <w:rPr>
          <w:color w:val="auto"/>
        </w:rPr>
      </w:pPr>
      <w:r w:rsidRPr="005A5059">
        <w:rPr>
          <w:color w:val="auto"/>
        </w:rPr>
        <w:t>3. Datos sintéticos: augmentación con ruido OCR</w:t>
      </w:r>
    </w:p>
    <w:p w14:paraId="3A545DB4" w14:textId="77777777" w:rsidR="00DD64F2" w:rsidRPr="005A5059" w:rsidRDefault="00000000">
      <w:pPr>
        <w:spacing w:after="120"/>
      </w:pPr>
      <w:r w:rsidRPr="005A5059">
        <w:t xml:space="preserve">Motivación. La primera red entrenada (BETO) mostró sobreajuste claro: el </w:t>
      </w:r>
      <w:proofErr w:type="spellStart"/>
      <w:r w:rsidRPr="005A5059">
        <w:t>accuracy</w:t>
      </w:r>
      <w:proofErr w:type="spellEnd"/>
      <w:r w:rsidRPr="005A5059">
        <w:t xml:space="preserve"> de validación mejoró hasta la cuarta época y luego se deterioró (puntaje público ~0.29). Un análisis del gap entre entrenamiento y validación (cercano a 0.75 medido con un clasificador lineal de control) confirmó que el conjunto es fácil de </w:t>
      </w:r>
      <w:proofErr w:type="gramStart"/>
      <w:r w:rsidRPr="005A5059">
        <w:t>memorizar</w:t>
      </w:r>
      <w:proofErr w:type="gramEnd"/>
      <w:r w:rsidRPr="005A5059">
        <w:t xml:space="preserve"> pero difícil de generalizar. La estrategia correcta, por tanto, no es aumentar la capacidad del modelo sino aumentar la regularización y la variedad de datos dentro del mismo dominio.</w:t>
      </w:r>
    </w:p>
    <w:p w14:paraId="519B8E24" w14:textId="77777777" w:rsidR="00DD64F2" w:rsidRPr="005A5059" w:rsidRDefault="00000000">
      <w:pPr>
        <w:spacing w:after="120"/>
      </w:pPr>
      <w:r w:rsidRPr="005A5059">
        <w:t>Construcción de los datos sintéticos (descripción detallada para reproducibilidad). Sobre cada texto del conjunto de entrenamiento ya limpio se genera una variante que imita el ruido de digitalización OCR observado en el propio corpus. El proceso es el siguiente:</w:t>
      </w:r>
    </w:p>
    <w:p w14:paraId="57A8ED6B" w14:textId="77777777" w:rsidR="00DD64F2" w:rsidRPr="005A5059" w:rsidRDefault="00000000">
      <w:pPr>
        <w:pStyle w:val="Prrafodelista"/>
        <w:numPr>
          <w:ilvl w:val="0"/>
          <w:numId w:val="2"/>
        </w:numPr>
      </w:pPr>
      <w:r w:rsidRPr="005A5059">
        <w:t xml:space="preserve">Confusiones de carácter con probabilidad p (por defecto 0.035 por carácter): se intercambian pares frecuentes en OCR de impresos antiguos — </w:t>
      </w:r>
      <w:proofErr w:type="spellStart"/>
      <w:r w:rsidRPr="005A5059">
        <w:t>s↔f</w:t>
      </w:r>
      <w:proofErr w:type="spellEnd"/>
      <w:r w:rsidRPr="005A5059">
        <w:t xml:space="preserve"> (por la «s larga» histórica ſ), </w:t>
      </w:r>
      <w:proofErr w:type="spellStart"/>
      <w:r w:rsidRPr="005A5059">
        <w:t>u↔v</w:t>
      </w:r>
      <w:proofErr w:type="spellEnd"/>
      <w:r w:rsidRPr="005A5059">
        <w:t xml:space="preserve"> (grafía arcaica), </w:t>
      </w:r>
      <w:proofErr w:type="spellStart"/>
      <w:r w:rsidRPr="005A5059">
        <w:t>i↔í</w:t>
      </w:r>
      <w:proofErr w:type="spellEnd"/>
      <w:r w:rsidRPr="005A5059">
        <w:t xml:space="preserve">, </w:t>
      </w:r>
      <w:proofErr w:type="spellStart"/>
      <w:r w:rsidRPr="005A5059">
        <w:t>c↔e</w:t>
      </w:r>
      <w:proofErr w:type="spellEnd"/>
      <w:r w:rsidRPr="005A5059">
        <w:t xml:space="preserve"> y o↔0.</w:t>
      </w:r>
    </w:p>
    <w:p w14:paraId="06A902C2" w14:textId="77777777" w:rsidR="00DD64F2" w:rsidRPr="005A5059" w:rsidRDefault="00000000">
      <w:pPr>
        <w:pStyle w:val="Prrafodelista"/>
        <w:numPr>
          <w:ilvl w:val="0"/>
          <w:numId w:val="2"/>
        </w:numPr>
      </w:pPr>
      <w:r w:rsidRPr="005A5059">
        <w:t xml:space="preserve">Inserción ocasional de caracteres espurios (por ejemplo «^»), tal como aparecen en el OCR real del </w:t>
      </w:r>
      <w:proofErr w:type="spellStart"/>
      <w:r w:rsidRPr="005A5059">
        <w:t>dataset</w:t>
      </w:r>
      <w:proofErr w:type="spellEnd"/>
      <w:r w:rsidRPr="005A5059">
        <w:t>.</w:t>
      </w:r>
    </w:p>
    <w:p w14:paraId="1CDB7AA3" w14:textId="77777777" w:rsidR="00DD64F2" w:rsidRPr="005A5059" w:rsidRDefault="00000000">
      <w:pPr>
        <w:pStyle w:val="Prrafodelista"/>
        <w:numPr>
          <w:ilvl w:val="0"/>
          <w:numId w:val="2"/>
        </w:numPr>
      </w:pPr>
      <w:r w:rsidRPr="005A5059">
        <w:t>Transposición ocasional de letras adyacentes, simulando errores de reconocimiento.</w:t>
      </w:r>
    </w:p>
    <w:p w14:paraId="2AFC6E7F" w14:textId="77777777" w:rsidR="00DD64F2" w:rsidRPr="005A5059" w:rsidRDefault="00000000">
      <w:pPr>
        <w:pStyle w:val="Prrafodelista"/>
        <w:numPr>
          <w:ilvl w:val="0"/>
          <w:numId w:val="2"/>
        </w:numPr>
      </w:pPr>
      <w:r w:rsidRPr="005A5059">
        <w:t>Salvaguarda a prueba de fallos: si la variante resultante difiere demasiado del original (similitud de secuencia inferior a 0.75), se descarta y se conserva el texto original. Los textos de menos de 40 caracteres no se aumentan por su escasa redundancia.</w:t>
      </w:r>
    </w:p>
    <w:p w14:paraId="3127C937" w14:textId="77777777" w:rsidR="00DD64F2" w:rsidRPr="005A5059" w:rsidRDefault="00000000">
      <w:pPr>
        <w:spacing w:after="120"/>
      </w:pPr>
      <w:r w:rsidRPr="005A5059">
        <w:t>La década asignada a cada variante es la misma del texto original, por lo que no se introduce ruido de etiqueta. La augmentación se aplica únicamente al conjunto de entrenamiento y siempre después de separar la validación, de modo que no hay fuga de información. La validación previa de esta técnica (sobre 2.000 textos) arrojó cero variantes destruidas y un 92 % de variantes con ruido útil, con una similitud media de 0.97 respecto del original.</w:t>
      </w:r>
    </w:p>
    <w:p w14:paraId="5E5F1CF8" w14:textId="77777777" w:rsidR="00DD64F2" w:rsidRPr="005A5059" w:rsidRDefault="00000000">
      <w:pPr>
        <w:spacing w:after="120"/>
      </w:pPr>
      <w:r w:rsidRPr="005A5059">
        <w:t xml:space="preserve">Se evaluó también el uso de fuentes externas (sección 2) pero se priorizó la augmentación sintética por dos razones: (a) los textos externos disponibles son transcripciones modernas y </w:t>
      </w:r>
      <w:r w:rsidRPr="005A5059">
        <w:lastRenderedPageBreak/>
        <w:t>limpias, mientras que el corpus de la competencia es OCR ruidoso —un desajuste de dominio que podría no transferir—, y (b) la fecha exacta de redacción de las obras externas no siempre es verificable. La augmentación sintética opera en el dominio correcto y con la etiqueta real, atacando el sobreajuste sin esos riesgos.</w:t>
      </w:r>
    </w:p>
    <w:p w14:paraId="01E735B5" w14:textId="77777777" w:rsidR="00DD64F2" w:rsidRPr="005A5059" w:rsidRDefault="00000000">
      <w:pPr>
        <w:pStyle w:val="Ttulo2"/>
      </w:pPr>
      <w:r w:rsidRPr="005A5059">
        <w:t>3.1 Augmentación por troceado (</w:t>
      </w:r>
      <w:proofErr w:type="spellStart"/>
      <w:r w:rsidRPr="005A5059">
        <w:t>sliding-window</w:t>
      </w:r>
      <w:proofErr w:type="spellEnd"/>
      <w:r w:rsidRPr="005A5059">
        <w:t xml:space="preserve"> </w:t>
      </w:r>
      <w:proofErr w:type="spellStart"/>
      <w:r w:rsidRPr="005A5059">
        <w:t>chunking</w:t>
      </w:r>
      <w:proofErr w:type="spellEnd"/>
      <w:r w:rsidRPr="005A5059">
        <w:t>)</w:t>
      </w:r>
    </w:p>
    <w:p w14:paraId="1E040B8A" w14:textId="77777777" w:rsidR="00DD64F2" w:rsidRPr="005A5059" w:rsidRDefault="00000000">
      <w:pPr>
        <w:spacing w:after="120"/>
      </w:pPr>
      <w:r w:rsidRPr="005A5059">
        <w:t xml:space="preserve">De forma complementaria, los textos largos del entrenamiento se dividen en ventanas solapadas de tokens; cada ventana hereda la etiqueta del texto original. Esto genera ejemplos adicionales y permite aprovechar todo el contenido sin truncar. En inferencia, la misma técnica se reutiliza como test-time </w:t>
      </w:r>
      <w:proofErr w:type="spellStart"/>
      <w:r w:rsidRPr="005A5059">
        <w:t>augmentation</w:t>
      </w:r>
      <w:proofErr w:type="spellEnd"/>
      <w:r w:rsidRPr="005A5059">
        <w:t xml:space="preserve">: se predice cada ventana del texto de evaluación y se promedian las probabilidades. El troceado se realiza sobre los tokens reales del </w:t>
      </w:r>
      <w:proofErr w:type="spellStart"/>
      <w:r w:rsidRPr="005A5059">
        <w:t>tokenizer</w:t>
      </w:r>
      <w:proofErr w:type="spellEnd"/>
      <w:r w:rsidRPr="005A5059">
        <w:t xml:space="preserve"> de cada modelo, y el </w:t>
      </w:r>
      <w:proofErr w:type="spellStart"/>
      <w:r w:rsidRPr="005A5059">
        <w:t>split</w:t>
      </w:r>
      <w:proofErr w:type="spellEnd"/>
      <w:r w:rsidRPr="005A5059">
        <w:t xml:space="preserve"> de validación se hace antes del troceado y a nivel de texto completo para evitar fuga de información.</w:t>
      </w:r>
    </w:p>
    <w:p w14:paraId="1C3B7C1D" w14:textId="77777777" w:rsidR="00DD64F2" w:rsidRPr="005A5059" w:rsidRDefault="00000000">
      <w:pPr>
        <w:pStyle w:val="Ttulo1"/>
        <w:rPr>
          <w:color w:val="auto"/>
        </w:rPr>
      </w:pPr>
      <w:r w:rsidRPr="005A5059">
        <w:rPr>
          <w:color w:val="auto"/>
        </w:rPr>
        <w:t>4. Declaración de uso de IA generativa</w:t>
      </w:r>
    </w:p>
    <w:p w14:paraId="311519E3" w14:textId="77777777" w:rsidR="00DD64F2" w:rsidRPr="005A5059" w:rsidRDefault="00000000">
      <w:pPr>
        <w:spacing w:after="120"/>
      </w:pPr>
      <w:r w:rsidRPr="005A5059">
        <w:t xml:space="preserve">Durante el desarrollo de esta entrega se utilizó un asistente de IA generativa (Claude, de </w:t>
      </w:r>
      <w:proofErr w:type="spellStart"/>
      <w:r w:rsidRPr="005A5059">
        <w:t>Anthropic</w:t>
      </w:r>
      <w:proofErr w:type="spellEnd"/>
      <w:r w:rsidRPr="005A5059">
        <w:t>) con los siguientes fines, dejando constancia para cumplir el requisito de la rúbrica:</w:t>
      </w:r>
    </w:p>
    <w:p w14:paraId="118ED988" w14:textId="77777777" w:rsidR="00DD64F2" w:rsidRPr="005A5059" w:rsidRDefault="00000000">
      <w:pPr>
        <w:pStyle w:val="Prrafodelista"/>
        <w:numPr>
          <w:ilvl w:val="0"/>
          <w:numId w:val="2"/>
        </w:numPr>
      </w:pPr>
      <w:r w:rsidRPr="005A5059">
        <w:t xml:space="preserve">Diagnóstico de la primera iteración (BERT multilingüe, 0.22 de </w:t>
      </w:r>
      <w:proofErr w:type="spellStart"/>
      <w:r w:rsidRPr="005A5059">
        <w:t>accuracy</w:t>
      </w:r>
      <w:proofErr w:type="spellEnd"/>
      <w:r w:rsidRPr="005A5059">
        <w:t xml:space="preserve"> en validación) e identificación de las causas: modelo no especializado en español, limpieza que destruía señal, entrenamiento insuficiente y truncado de textos largos.</w:t>
      </w:r>
    </w:p>
    <w:p w14:paraId="303BF57F" w14:textId="77777777" w:rsidR="00DD64F2" w:rsidRPr="005A5059" w:rsidRDefault="00000000">
      <w:pPr>
        <w:pStyle w:val="Prrafodelista"/>
        <w:numPr>
          <w:ilvl w:val="0"/>
          <w:numId w:val="2"/>
        </w:numPr>
      </w:pPr>
      <w:r w:rsidRPr="005A5059">
        <w:t xml:space="preserve">Análisis exploratorio del </w:t>
      </w:r>
      <w:proofErr w:type="spellStart"/>
      <w:r w:rsidRPr="005A5059">
        <w:t>dataset</w:t>
      </w:r>
      <w:proofErr w:type="spellEnd"/>
      <w:r w:rsidRPr="005A5059">
        <w:t xml:space="preserve"> (distribución balanceada de 39 clases, longitudes, ruido de OCR, duplicados y etiquetas inconsistentes) y verificación del techo de señal mediante un </w:t>
      </w:r>
      <w:proofErr w:type="spellStart"/>
      <w:r w:rsidRPr="005A5059">
        <w:t>baseline</w:t>
      </w:r>
      <w:proofErr w:type="spellEnd"/>
      <w:r w:rsidRPr="005A5059">
        <w:t xml:space="preserve"> clásico (TF-IDF de n-gramas de caracteres).</w:t>
      </w:r>
    </w:p>
    <w:p w14:paraId="0745E0BB" w14:textId="77777777" w:rsidR="00DD64F2" w:rsidRPr="005A5059" w:rsidRDefault="00000000">
      <w:pPr>
        <w:pStyle w:val="Prrafodelista"/>
        <w:numPr>
          <w:ilvl w:val="0"/>
          <w:numId w:val="2"/>
        </w:numPr>
      </w:pPr>
      <w:r w:rsidRPr="005A5059">
        <w:t xml:space="preserve">Diseño de la arquitectura de la red capa por capa y propuesta de las estrategias de entrenamiento (LR discriminativas, </w:t>
      </w:r>
      <w:proofErr w:type="spellStart"/>
      <w:r w:rsidRPr="005A5059">
        <w:t>label</w:t>
      </w:r>
      <w:proofErr w:type="spellEnd"/>
      <w:r w:rsidRPr="005A5059">
        <w:t xml:space="preserve"> </w:t>
      </w:r>
      <w:proofErr w:type="spellStart"/>
      <w:r w:rsidRPr="005A5059">
        <w:t>smoothing</w:t>
      </w:r>
      <w:proofErr w:type="spellEnd"/>
      <w:r w:rsidRPr="005A5059">
        <w:t xml:space="preserve">, </w:t>
      </w:r>
      <w:proofErr w:type="spellStart"/>
      <w:r w:rsidRPr="005A5059">
        <w:t>warmup</w:t>
      </w:r>
      <w:proofErr w:type="spellEnd"/>
      <w:r w:rsidRPr="005A5059">
        <w:t xml:space="preserve"> + </w:t>
      </w:r>
      <w:proofErr w:type="spellStart"/>
      <w:r w:rsidRPr="005A5059">
        <w:t>cosine</w:t>
      </w:r>
      <w:proofErr w:type="spellEnd"/>
      <w:r w:rsidRPr="005A5059">
        <w:t xml:space="preserve">, fp16, </w:t>
      </w:r>
      <w:proofErr w:type="spellStart"/>
      <w:r w:rsidRPr="005A5059">
        <w:t>early</w:t>
      </w:r>
      <w:proofErr w:type="spellEnd"/>
      <w:r w:rsidRPr="005A5059">
        <w:t xml:space="preserve"> </w:t>
      </w:r>
      <w:proofErr w:type="spellStart"/>
      <w:r w:rsidRPr="005A5059">
        <w:t>stopping</w:t>
      </w:r>
      <w:proofErr w:type="spellEnd"/>
      <w:r w:rsidRPr="005A5059">
        <w:t>, TTA).</w:t>
      </w:r>
    </w:p>
    <w:p w14:paraId="1ECB2660" w14:textId="77777777" w:rsidR="00DD64F2" w:rsidRPr="005A5059" w:rsidRDefault="00000000">
      <w:pPr>
        <w:pStyle w:val="Prrafodelista"/>
        <w:numPr>
          <w:ilvl w:val="0"/>
          <w:numId w:val="2"/>
        </w:numPr>
      </w:pPr>
      <w:r w:rsidRPr="005A5059">
        <w:t>Diagnóstico del sobreajuste observado tras los primeros entrenamientos (deterioro después de la cuarta época) y diseño de las contramedidas: augmentación con ruido OCR sintético, mayor regularización (</w:t>
      </w:r>
      <w:proofErr w:type="spellStart"/>
      <w:r w:rsidRPr="005A5059">
        <w:t>dropout</w:t>
      </w:r>
      <w:proofErr w:type="spellEnd"/>
      <w:r w:rsidRPr="005A5059">
        <w:t xml:space="preserve">, congelado de capas, </w:t>
      </w:r>
      <w:proofErr w:type="spellStart"/>
      <w:r w:rsidRPr="005A5059">
        <w:t>label</w:t>
      </w:r>
      <w:proofErr w:type="spellEnd"/>
      <w:r w:rsidRPr="005A5059">
        <w:t xml:space="preserve"> </w:t>
      </w:r>
      <w:proofErr w:type="spellStart"/>
      <w:r w:rsidRPr="005A5059">
        <w:t>smoothing</w:t>
      </w:r>
      <w:proofErr w:type="spellEnd"/>
      <w:r w:rsidRPr="005A5059">
        <w:t xml:space="preserve">), </w:t>
      </w:r>
      <w:proofErr w:type="spellStart"/>
      <w:r w:rsidRPr="005A5059">
        <w:t>early</w:t>
      </w:r>
      <w:proofErr w:type="spellEnd"/>
      <w:r w:rsidRPr="005A5059">
        <w:t xml:space="preserve"> </w:t>
      </w:r>
      <w:proofErr w:type="spellStart"/>
      <w:r w:rsidRPr="005A5059">
        <w:t>stopping</w:t>
      </w:r>
      <w:proofErr w:type="spellEnd"/>
      <w:r w:rsidRPr="005A5059">
        <w:t xml:space="preserve"> más estricto y ensamble de modelos.</w:t>
      </w:r>
    </w:p>
    <w:p w14:paraId="728BEC71" w14:textId="77777777" w:rsidR="00DD64F2" w:rsidRPr="005A5059" w:rsidRDefault="00000000">
      <w:pPr>
        <w:pStyle w:val="Prrafodelista"/>
        <w:numPr>
          <w:ilvl w:val="0"/>
          <w:numId w:val="2"/>
        </w:numPr>
      </w:pPr>
      <w:r w:rsidRPr="005A5059">
        <w:t>Diseño y validación de la función de augmentación sintética y del pipeline de ensamble basado en BETO (</w:t>
      </w:r>
      <w:proofErr w:type="spellStart"/>
      <w:r w:rsidRPr="005A5059">
        <w:t>dccuchile</w:t>
      </w:r>
      <w:proofErr w:type="spellEnd"/>
      <w:r w:rsidRPr="005A5059">
        <w:t>/</w:t>
      </w:r>
      <w:proofErr w:type="spellStart"/>
      <w:r w:rsidRPr="005A5059">
        <w:t>bert</w:t>
      </w:r>
      <w:proofErr w:type="spellEnd"/>
      <w:r w:rsidRPr="005A5059">
        <w:t>-base-</w:t>
      </w:r>
      <w:proofErr w:type="spellStart"/>
      <w:r w:rsidRPr="005A5059">
        <w:t>spanish</w:t>
      </w:r>
      <w:proofErr w:type="spellEnd"/>
      <w:r w:rsidRPr="005A5059">
        <w:t>-</w:t>
      </w:r>
      <w:proofErr w:type="spellStart"/>
      <w:r w:rsidRPr="005A5059">
        <w:t>wwm-uncased</w:t>
      </w:r>
      <w:proofErr w:type="spellEnd"/>
      <w:r w:rsidRPr="005A5059">
        <w:t>).</w:t>
      </w:r>
    </w:p>
    <w:p w14:paraId="7CFA9466" w14:textId="77777777" w:rsidR="00DD64F2" w:rsidRPr="005A5059" w:rsidRDefault="00000000">
      <w:pPr>
        <w:pStyle w:val="Prrafodelista"/>
        <w:numPr>
          <w:ilvl w:val="0"/>
          <w:numId w:val="2"/>
        </w:numPr>
      </w:pPr>
      <w:r w:rsidRPr="005A5059">
        <w:t>Redacción del notebook documentado y de este documento de referencias.</w:t>
      </w:r>
    </w:p>
    <w:p w14:paraId="341BF5E1" w14:textId="77777777" w:rsidR="00DD64F2" w:rsidRPr="005A5059" w:rsidRDefault="00000000">
      <w:pPr>
        <w:spacing w:after="120"/>
      </w:pPr>
      <w:r w:rsidRPr="005A5059">
        <w:t>Todas las decisiones de modelado fueron revisadas y validadas. El código de preprocesamiento, troceado, agregación de predicciones y formato del archivo de respuesta fue verificado de forma independiente para asegurar su correcto funcionamiento. La interpretación de resultados, la selección final del modelo y la responsabilidad del contenido recaen en el equipo del proyecto.</w:t>
      </w:r>
    </w:p>
    <w:p w14:paraId="2FB49713" w14:textId="77777777" w:rsidR="00DD64F2" w:rsidRPr="005A5059" w:rsidRDefault="00000000">
      <w:pPr>
        <w:pStyle w:val="Ttulo1"/>
        <w:rPr>
          <w:color w:val="auto"/>
        </w:rPr>
      </w:pPr>
      <w:r w:rsidRPr="005A5059">
        <w:rPr>
          <w:color w:val="auto"/>
        </w:rPr>
        <w:t>5. Entregables y reproducibilidad</w:t>
      </w:r>
    </w:p>
    <w:p w14:paraId="3E1481AE" w14:textId="77777777" w:rsidR="00DD64F2" w:rsidRPr="005A5059" w:rsidRDefault="00000000">
      <w:pPr>
        <w:pStyle w:val="Prrafodelista"/>
        <w:numPr>
          <w:ilvl w:val="0"/>
          <w:numId w:val="2"/>
        </w:numPr>
      </w:pPr>
      <w:r w:rsidRPr="005A5059">
        <w:t>Bert_v</w:t>
      </w:r>
      <w:proofErr w:type="gramStart"/>
      <w:r w:rsidRPr="005A5059">
        <w:t>2.ipynb</w:t>
      </w:r>
      <w:proofErr w:type="gramEnd"/>
      <w:r w:rsidRPr="005A5059">
        <w:t xml:space="preserve"> — notebook de implementación, entrenamiento y evaluación, con justificación de cada decisión y evidencia de iteración respecto a la versión previa.</w:t>
      </w:r>
    </w:p>
    <w:p w14:paraId="33BFB885" w14:textId="77777777" w:rsidR="00DD64F2" w:rsidRPr="005A5059" w:rsidRDefault="00000000">
      <w:pPr>
        <w:pStyle w:val="Prrafodelista"/>
        <w:numPr>
          <w:ilvl w:val="0"/>
          <w:numId w:val="2"/>
        </w:numPr>
      </w:pPr>
      <w:r w:rsidRPr="005A5059">
        <w:t>decade_model_final.pt — pesos del modelo entrenado (se genera al ejecutar la sección 10 del notebook).</w:t>
      </w:r>
    </w:p>
    <w:p w14:paraId="5D1684A8" w14:textId="77777777" w:rsidR="00DD64F2" w:rsidRPr="005A5059" w:rsidRDefault="00000000">
      <w:pPr>
        <w:pStyle w:val="Prrafodelista"/>
        <w:numPr>
          <w:ilvl w:val="0"/>
          <w:numId w:val="2"/>
        </w:numPr>
      </w:pPr>
      <w:r w:rsidRPr="005A5059">
        <w:t xml:space="preserve">submission_parte2.csv — archivo de respuesta en formato </w:t>
      </w:r>
      <w:proofErr w:type="spellStart"/>
      <w:proofErr w:type="gramStart"/>
      <w:r w:rsidRPr="005A5059">
        <w:t>id,answer</w:t>
      </w:r>
      <w:proofErr w:type="spellEnd"/>
      <w:proofErr w:type="gramEnd"/>
      <w:r w:rsidRPr="005A5059">
        <w:t xml:space="preserve"> con la década predicha.</w:t>
      </w:r>
    </w:p>
    <w:p w14:paraId="43EBFFAA" w14:textId="77777777" w:rsidR="00DD64F2" w:rsidRPr="005A5059" w:rsidRDefault="00000000">
      <w:pPr>
        <w:pStyle w:val="Prrafodelista"/>
        <w:numPr>
          <w:ilvl w:val="0"/>
          <w:numId w:val="2"/>
        </w:numPr>
      </w:pPr>
      <w:r w:rsidRPr="005A5059">
        <w:t>Este documento — referencias de datos externos (fuente, enlace, licencia) y declaración de uso de IA.</w:t>
      </w:r>
    </w:p>
    <w:sectPr w:rsidR="00DD64F2" w:rsidRPr="005A5059">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5E78" w14:textId="77777777" w:rsidR="00BE3F7E" w:rsidRDefault="00BE3F7E">
      <w:r>
        <w:separator/>
      </w:r>
    </w:p>
  </w:endnote>
  <w:endnote w:type="continuationSeparator" w:id="0">
    <w:p w14:paraId="59A3A51F" w14:textId="77777777" w:rsidR="00BE3F7E" w:rsidRDefault="00BE3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1DB1" w14:textId="77777777" w:rsidR="00DD64F2"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5A50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0BAE" w14:textId="77777777" w:rsidR="00BE3F7E" w:rsidRDefault="00BE3F7E">
      <w:r>
        <w:separator/>
      </w:r>
    </w:p>
  </w:footnote>
  <w:footnote w:type="continuationSeparator" w:id="0">
    <w:p w14:paraId="23567D20" w14:textId="77777777" w:rsidR="00BE3F7E" w:rsidRDefault="00BE3F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9740A"/>
    <w:multiLevelType w:val="hybridMultilevel"/>
    <w:tmpl w:val="D584DA44"/>
    <w:lvl w:ilvl="0" w:tplc="F3CEB3AA">
      <w:start w:val="1"/>
      <w:numFmt w:val="bullet"/>
      <w:lvlText w:val="•"/>
      <w:lvlJc w:val="left"/>
      <w:pPr>
        <w:ind w:left="540" w:hanging="280"/>
      </w:pPr>
    </w:lvl>
    <w:lvl w:ilvl="1" w:tplc="0CDA61E8">
      <w:numFmt w:val="decimal"/>
      <w:lvlText w:val=""/>
      <w:lvlJc w:val="left"/>
    </w:lvl>
    <w:lvl w:ilvl="2" w:tplc="97F2CC0A">
      <w:numFmt w:val="decimal"/>
      <w:lvlText w:val=""/>
      <w:lvlJc w:val="left"/>
    </w:lvl>
    <w:lvl w:ilvl="3" w:tplc="157ED978">
      <w:numFmt w:val="decimal"/>
      <w:lvlText w:val=""/>
      <w:lvlJc w:val="left"/>
    </w:lvl>
    <w:lvl w:ilvl="4" w:tplc="6C209264">
      <w:numFmt w:val="decimal"/>
      <w:lvlText w:val=""/>
      <w:lvlJc w:val="left"/>
    </w:lvl>
    <w:lvl w:ilvl="5" w:tplc="7E82B206">
      <w:numFmt w:val="decimal"/>
      <w:lvlText w:val=""/>
      <w:lvlJc w:val="left"/>
    </w:lvl>
    <w:lvl w:ilvl="6" w:tplc="FBE87660">
      <w:numFmt w:val="decimal"/>
      <w:lvlText w:val=""/>
      <w:lvlJc w:val="left"/>
    </w:lvl>
    <w:lvl w:ilvl="7" w:tplc="D8B41918">
      <w:numFmt w:val="decimal"/>
      <w:lvlText w:val=""/>
      <w:lvlJc w:val="left"/>
    </w:lvl>
    <w:lvl w:ilvl="8" w:tplc="23A49BDA">
      <w:numFmt w:val="decimal"/>
      <w:lvlText w:val=""/>
      <w:lvlJc w:val="left"/>
    </w:lvl>
  </w:abstractNum>
  <w:abstractNum w:abstractNumId="1" w15:restartNumberingAfterBreak="0">
    <w:nsid w:val="6FF273FE"/>
    <w:multiLevelType w:val="hybridMultilevel"/>
    <w:tmpl w:val="2EF4B1E2"/>
    <w:lvl w:ilvl="0" w:tplc="BF443EEC">
      <w:start w:val="1"/>
      <w:numFmt w:val="bullet"/>
      <w:lvlText w:val="●"/>
      <w:lvlJc w:val="left"/>
      <w:pPr>
        <w:ind w:left="720" w:hanging="360"/>
      </w:pPr>
    </w:lvl>
    <w:lvl w:ilvl="1" w:tplc="5C8CD3E8">
      <w:start w:val="1"/>
      <w:numFmt w:val="bullet"/>
      <w:lvlText w:val="○"/>
      <w:lvlJc w:val="left"/>
      <w:pPr>
        <w:ind w:left="1440" w:hanging="360"/>
      </w:pPr>
    </w:lvl>
    <w:lvl w:ilvl="2" w:tplc="25EE748C">
      <w:start w:val="1"/>
      <w:numFmt w:val="bullet"/>
      <w:lvlText w:val="■"/>
      <w:lvlJc w:val="left"/>
      <w:pPr>
        <w:ind w:left="2160" w:hanging="360"/>
      </w:pPr>
    </w:lvl>
    <w:lvl w:ilvl="3" w:tplc="9EEEB52A">
      <w:start w:val="1"/>
      <w:numFmt w:val="bullet"/>
      <w:lvlText w:val="●"/>
      <w:lvlJc w:val="left"/>
      <w:pPr>
        <w:ind w:left="2880" w:hanging="360"/>
      </w:pPr>
    </w:lvl>
    <w:lvl w:ilvl="4" w:tplc="B76E91D4">
      <w:start w:val="1"/>
      <w:numFmt w:val="bullet"/>
      <w:lvlText w:val="○"/>
      <w:lvlJc w:val="left"/>
      <w:pPr>
        <w:ind w:left="3600" w:hanging="360"/>
      </w:pPr>
    </w:lvl>
    <w:lvl w:ilvl="5" w:tplc="02BC5114">
      <w:start w:val="1"/>
      <w:numFmt w:val="bullet"/>
      <w:lvlText w:val="■"/>
      <w:lvlJc w:val="left"/>
      <w:pPr>
        <w:ind w:left="4320" w:hanging="360"/>
      </w:pPr>
    </w:lvl>
    <w:lvl w:ilvl="6" w:tplc="00F6548E">
      <w:start w:val="1"/>
      <w:numFmt w:val="bullet"/>
      <w:lvlText w:val="●"/>
      <w:lvlJc w:val="left"/>
      <w:pPr>
        <w:ind w:left="5040" w:hanging="360"/>
      </w:pPr>
    </w:lvl>
    <w:lvl w:ilvl="7" w:tplc="5F12BCC6">
      <w:start w:val="1"/>
      <w:numFmt w:val="bullet"/>
      <w:lvlText w:val="●"/>
      <w:lvlJc w:val="left"/>
      <w:pPr>
        <w:ind w:left="5760" w:hanging="360"/>
      </w:pPr>
    </w:lvl>
    <w:lvl w:ilvl="8" w:tplc="89F06236">
      <w:start w:val="1"/>
      <w:numFmt w:val="bullet"/>
      <w:lvlText w:val="●"/>
      <w:lvlJc w:val="left"/>
      <w:pPr>
        <w:ind w:left="6480" w:hanging="360"/>
      </w:pPr>
    </w:lvl>
  </w:abstractNum>
  <w:num w:numId="1" w16cid:durableId="378867571">
    <w:abstractNumId w:val="1"/>
    <w:lvlOverride w:ilvl="0">
      <w:startOverride w:val="1"/>
    </w:lvlOverride>
  </w:num>
  <w:num w:numId="2" w16cid:durableId="486558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F2"/>
    <w:rsid w:val="005A5059"/>
    <w:rsid w:val="00BE3F7E"/>
    <w:rsid w:val="00C055E1"/>
    <w:rsid w:val="00DD64F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3463C"/>
  <w15:docId w15:val="{3CDD3CEC-0CF7-4612-BE47-C8E1DE7A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60" w:after="140"/>
      <w:outlineLvl w:val="0"/>
    </w:pPr>
    <w:rPr>
      <w:b/>
      <w:bCs/>
      <w:color w:val="1F4E79"/>
      <w:sz w:val="28"/>
      <w:szCs w:val="28"/>
    </w:rPr>
  </w:style>
  <w:style w:type="paragraph" w:styleId="Ttulo2">
    <w:name w:val="heading 2"/>
    <w:uiPriority w:val="9"/>
    <w:unhideWhenUsed/>
    <w:qFormat/>
    <w:pPr>
      <w:spacing w:before="18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s.wikisource.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utenberg.org/browse/languages/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corpusdelespanol.org" TargetMode="External"/><Relationship Id="rId4" Type="http://schemas.openxmlformats.org/officeDocument/2006/relationships/webSettings" Target="webSettings.xml"/><Relationship Id="rId9" Type="http://schemas.openxmlformats.org/officeDocument/2006/relationships/hyperlink" Target="https://bdh.bn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1392</Words>
  <Characters>7660</Characters>
  <Application>Microsoft Office Word</Application>
  <DocSecurity>0</DocSecurity>
  <Lines>63</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Sofia Alcala Gonzalez</cp:lastModifiedBy>
  <cp:revision>2</cp:revision>
  <dcterms:created xsi:type="dcterms:W3CDTF">2026-05-23T19:40:00Z</dcterms:created>
  <dcterms:modified xsi:type="dcterms:W3CDTF">2026-05-24T02:24:00Z</dcterms:modified>
</cp:coreProperties>
</file>