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67871D" w14:textId="77777777" w:rsidR="00417BA8" w:rsidRPr="00417BA8" w:rsidRDefault="00417BA8" w:rsidP="00417B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17BA8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417BA8">
        <w:rPr>
          <w:rFonts w:ascii="Times New Roman" w:eastAsia="Times New Roman" w:hAnsi="Times New Roman" w:cs="Times New Roman"/>
          <w:kern w:val="0"/>
          <w14:ligatures w14:val="none"/>
        </w:rPr>
        <w:t xml:space="preserve">  </w:t>
      </w:r>
      <w:r w:rsidRPr="00417BA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Country and eligible agricultural area</w:t>
      </w:r>
    </w:p>
    <w:p w14:paraId="5DB72E50" w14:textId="38B1BCF6" w:rsidR="00417BA8" w:rsidRPr="00935768" w:rsidRDefault="00417BA8" w:rsidP="00417BA8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val="en-GB"/>
          <w14:ligatures w14:val="none"/>
        </w:rPr>
        <w:t>England/UK</w:t>
      </w:r>
      <w:r w:rsidRPr="00417BA8">
        <w:rPr>
          <w:rFonts w:ascii="Times New Roman" w:eastAsia="Times New Roman" w:hAnsi="Times New Roman" w:cs="Times New Roman"/>
          <w:kern w:val="0"/>
          <w14:ligatures w14:val="none"/>
        </w:rPr>
        <w:t>?</w:t>
      </w:r>
    </w:p>
    <w:p w14:paraId="3C975CBD" w14:textId="0957EF95" w:rsidR="00935768" w:rsidRPr="00417BA8" w:rsidRDefault="00935768" w:rsidP="009357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val="en-GB"/>
          <w14:ligatures w14:val="none"/>
        </w:rPr>
        <w:t>UK</w:t>
      </w:r>
    </w:p>
    <w:p w14:paraId="5778978A" w14:textId="77777777" w:rsidR="00417BA8" w:rsidRPr="00935768" w:rsidRDefault="00417BA8" w:rsidP="00417BA8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17BA8">
        <w:rPr>
          <w:rFonts w:ascii="Times New Roman" w:eastAsia="Times New Roman" w:hAnsi="Times New Roman" w:cs="Times New Roman"/>
          <w:kern w:val="0"/>
          <w14:ligatures w14:val="none"/>
        </w:rPr>
        <w:t>Arable land only, or other agricultural land?</w:t>
      </w:r>
    </w:p>
    <w:p w14:paraId="00CBBCB4" w14:textId="3EDB1DB6" w:rsidR="00935768" w:rsidRDefault="00935768" w:rsidP="009357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val="en-GB"/>
          <w14:ligatures w14:val="none"/>
        </w:rPr>
        <w:t>From Climate Change Committee estimates: Trees on 10% of farmland by 2050. 14% of grassland area and 7% of cropland being used for planting trees by 2050. CCC did it from 2021 to 2050.</w:t>
      </w:r>
    </w:p>
    <w:p w14:paraId="689B5928" w14:textId="649888F4" w:rsidR="00935768" w:rsidRDefault="00935768" w:rsidP="009357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val="en-GB"/>
          <w14:ligatures w14:val="none"/>
        </w:rPr>
        <w:t xml:space="preserve">Cropland: They used poplar in 2 m wide rows, with spacing of 30 m between rows and 7 m between trees. </w:t>
      </w:r>
    </w:p>
    <w:p w14:paraId="6374F948" w14:textId="07AF8AB9" w:rsidR="00935768" w:rsidRDefault="00935768" w:rsidP="009357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val="en-GB"/>
          <w14:ligatures w14:val="none"/>
        </w:rPr>
        <w:t>Grassland: They used broadleaf (we need to use poplar) at very high density.  We should use our density instead (166 trees/ha)</w:t>
      </w:r>
    </w:p>
    <w:p w14:paraId="3EE08166" w14:textId="31DC399F" w:rsidR="00935768" w:rsidRPr="00417BA8" w:rsidRDefault="00935768" w:rsidP="009357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val="en-GB"/>
          <w14:ligatures w14:val="none"/>
        </w:rPr>
        <w:t>3.8 million hectares by 2035 and 6.0 million by 2050. 6 million represents 35% of agricultural land</w:t>
      </w:r>
    </w:p>
    <w:p w14:paraId="485A793A" w14:textId="77777777" w:rsidR="00417BA8" w:rsidRPr="00417BA8" w:rsidRDefault="00417BA8" w:rsidP="00417BA8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17BA8">
        <w:rPr>
          <w:rFonts w:ascii="Times New Roman" w:eastAsia="Times New Roman" w:hAnsi="Times New Roman" w:cs="Times New Roman"/>
          <w:kern w:val="0"/>
          <w14:ligatures w14:val="none"/>
        </w:rPr>
        <w:t>Which area dataset and reference year?</w:t>
      </w:r>
    </w:p>
    <w:p w14:paraId="0455F0E9" w14:textId="77777777" w:rsidR="00417BA8" w:rsidRPr="00417BA8" w:rsidRDefault="00417BA8" w:rsidP="00417B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17BA8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417BA8">
        <w:rPr>
          <w:rFonts w:ascii="Times New Roman" w:eastAsia="Times New Roman" w:hAnsi="Times New Roman" w:cs="Times New Roman"/>
          <w:kern w:val="0"/>
          <w14:ligatures w14:val="none"/>
        </w:rPr>
        <w:t xml:space="preserve">  </w:t>
      </w:r>
      <w:r w:rsidRPr="00417BA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Future land management</w:t>
      </w:r>
    </w:p>
    <w:p w14:paraId="742B2792" w14:textId="46E794F4" w:rsidR="00417BA8" w:rsidRPr="00417BA8" w:rsidRDefault="00417BA8" w:rsidP="00417BA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17BA8">
        <w:rPr>
          <w:rFonts w:ascii="Times New Roman" w:eastAsia="Times New Roman" w:hAnsi="Times New Roman" w:cs="Times New Roman"/>
          <w:kern w:val="0"/>
          <w14:ligatures w14:val="none"/>
        </w:rPr>
        <w:t xml:space="preserve">Will continued cropping be included as a separate scenario? </w:t>
      </w:r>
      <w:r>
        <w:rPr>
          <w:rFonts w:ascii="Times New Roman" w:eastAsia="Times New Roman" w:hAnsi="Times New Roman" w:cs="Times New Roman"/>
          <w:kern w:val="0"/>
          <w:lang w:val="en-GB"/>
          <w14:ligatures w14:val="none"/>
        </w:rPr>
        <w:t xml:space="preserve">For the total area or a proportion of it? </w:t>
      </w:r>
    </w:p>
    <w:p w14:paraId="6172FB87" w14:textId="5193A5C3" w:rsidR="00417BA8" w:rsidRPr="00417BA8" w:rsidRDefault="00417BA8" w:rsidP="00417BA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val="en-GB"/>
          <w14:ligatures w14:val="none"/>
        </w:rPr>
        <w:t xml:space="preserve">Can we use arable reference for this? </w:t>
      </w:r>
    </w:p>
    <w:p w14:paraId="4F80F083" w14:textId="77777777" w:rsidR="00417BA8" w:rsidRPr="00417BA8" w:rsidRDefault="00417BA8" w:rsidP="00417B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17BA8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417BA8">
        <w:rPr>
          <w:rFonts w:ascii="Times New Roman" w:eastAsia="Times New Roman" w:hAnsi="Times New Roman" w:cs="Times New Roman"/>
          <w:kern w:val="0"/>
          <w14:ligatures w14:val="none"/>
        </w:rPr>
        <w:t xml:space="preserve">  </w:t>
      </w:r>
      <w:r w:rsidRPr="00417BA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Planting layout</w:t>
      </w:r>
    </w:p>
    <w:p w14:paraId="2097A0DE" w14:textId="77777777" w:rsidR="00417BA8" w:rsidRPr="00417BA8" w:rsidRDefault="00417BA8" w:rsidP="00417BA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17BA8">
        <w:rPr>
          <w:rFonts w:ascii="Times New Roman" w:eastAsia="Times New Roman" w:hAnsi="Times New Roman" w:cs="Times New Roman"/>
          <w:kern w:val="0"/>
          <w14:ligatures w14:val="none"/>
        </w:rPr>
        <w:t>Tree-row strip width, alley width and spacing between trees within rows.</w:t>
      </w:r>
    </w:p>
    <w:p w14:paraId="74031EDD" w14:textId="77777777" w:rsidR="00417BA8" w:rsidRPr="00417BA8" w:rsidRDefault="00417BA8" w:rsidP="00417BA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17BA8">
        <w:rPr>
          <w:rFonts w:ascii="Times New Roman" w:eastAsia="Times New Roman" w:hAnsi="Times New Roman" w:cs="Times New Roman"/>
          <w:kern w:val="0"/>
          <w14:ligatures w14:val="none"/>
        </w:rPr>
        <w:t>Derive tree density and the tree-row/grassland area fractions consistently from that geometry.</w:t>
      </w:r>
    </w:p>
    <w:p w14:paraId="36C409A9" w14:textId="77777777" w:rsidR="00417BA8" w:rsidRPr="00417BA8" w:rsidRDefault="00417BA8" w:rsidP="00417BA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17BA8">
        <w:rPr>
          <w:rFonts w:ascii="Times New Roman" w:eastAsia="Times New Roman" w:hAnsi="Times New Roman" w:cs="Times New Roman"/>
          <w:kern w:val="0"/>
          <w14:ligatures w14:val="none"/>
        </w:rPr>
        <w:t>Decide how far density can differ from the experiment while assuming the same growth per tree.</w:t>
      </w:r>
    </w:p>
    <w:p w14:paraId="19B35829" w14:textId="77777777" w:rsidR="00417BA8" w:rsidRPr="00417BA8" w:rsidRDefault="00417BA8" w:rsidP="00417B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17BA8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417BA8">
        <w:rPr>
          <w:rFonts w:ascii="Times New Roman" w:eastAsia="Times New Roman" w:hAnsi="Times New Roman" w:cs="Times New Roman"/>
          <w:kern w:val="0"/>
          <w14:ligatures w14:val="none"/>
        </w:rPr>
        <w:t xml:space="preserve">  </w:t>
      </w:r>
      <w:r w:rsidRPr="00417BA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Planting ambition and annual planting schedule</w:t>
      </w:r>
    </w:p>
    <w:p w14:paraId="1049E67A" w14:textId="77777777" w:rsidR="00417BA8" w:rsidRPr="00417BA8" w:rsidRDefault="00417BA8" w:rsidP="00417BA8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17BA8">
        <w:rPr>
          <w:rFonts w:ascii="Times New Roman" w:eastAsia="Times New Roman" w:hAnsi="Times New Roman" w:cs="Times New Roman"/>
          <w:kern w:val="0"/>
          <w14:ligatures w14:val="none"/>
        </w:rPr>
        <w:t>What percentage or number of hectares will be planted?</w:t>
      </w:r>
    </w:p>
    <w:p w14:paraId="7E1B9807" w14:textId="77777777" w:rsidR="00417BA8" w:rsidRPr="00417BA8" w:rsidRDefault="00417BA8" w:rsidP="00417BA8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17BA8">
        <w:rPr>
          <w:rFonts w:ascii="Times New Roman" w:eastAsia="Times New Roman" w:hAnsi="Times New Roman" w:cs="Times New Roman"/>
          <w:kern w:val="0"/>
          <w14:ligatures w14:val="none"/>
        </w:rPr>
        <w:t>All at once, a constant annual area, or a gradual increase in planting capacity?</w:t>
      </w:r>
    </w:p>
    <w:p w14:paraId="03A45037" w14:textId="77777777" w:rsidR="00417BA8" w:rsidRPr="00417BA8" w:rsidRDefault="00417BA8" w:rsidP="00417BA8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17BA8">
        <w:rPr>
          <w:rFonts w:ascii="Times New Roman" w:eastAsia="Times New Roman" w:hAnsi="Times New Roman" w:cs="Times New Roman"/>
          <w:kern w:val="0"/>
          <w14:ligatures w14:val="none"/>
        </w:rPr>
        <w:t>By which year must the target area be reached?</w:t>
      </w:r>
    </w:p>
    <w:p w14:paraId="6625D31C" w14:textId="77777777" w:rsidR="00417BA8" w:rsidRPr="00417BA8" w:rsidRDefault="00417BA8" w:rsidP="00417B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17BA8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417BA8">
        <w:rPr>
          <w:rFonts w:ascii="Times New Roman" w:eastAsia="Times New Roman" w:hAnsi="Times New Roman" w:cs="Times New Roman"/>
          <w:kern w:val="0"/>
          <w14:ligatures w14:val="none"/>
        </w:rPr>
        <w:t xml:space="preserve">  </w:t>
      </w:r>
      <w:r w:rsidRPr="00417BA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Projection dates</w:t>
      </w:r>
    </w:p>
    <w:p w14:paraId="5420BA5A" w14:textId="77777777" w:rsidR="00417BA8" w:rsidRPr="00417BA8" w:rsidRDefault="00417BA8" w:rsidP="00417BA8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17BA8">
        <w:rPr>
          <w:rFonts w:ascii="Times New Roman" w:eastAsia="Times New Roman" w:hAnsi="Times New Roman" w:cs="Times New Roman"/>
          <w:kern w:val="0"/>
          <w14:ligatures w14:val="none"/>
        </w:rPr>
        <w:t>What is year zero, and which calendar year ends the 30-year programme?</w:t>
      </w:r>
    </w:p>
    <w:p w14:paraId="0699FF17" w14:textId="77777777" w:rsidR="00417BA8" w:rsidRPr="00417BA8" w:rsidRDefault="00417BA8" w:rsidP="00417BA8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17BA8">
        <w:rPr>
          <w:rFonts w:ascii="Times New Roman" w:eastAsia="Times New Roman" w:hAnsi="Times New Roman" w:cs="Times New Roman"/>
          <w:kern w:val="0"/>
          <w14:ligatures w14:val="none"/>
        </w:rPr>
        <w:t>Include an additional 2050 result if useful?</w:t>
      </w:r>
    </w:p>
    <w:p w14:paraId="5CDBDA83" w14:textId="77777777" w:rsidR="00417BA8" w:rsidRPr="00417BA8" w:rsidRDefault="00417BA8" w:rsidP="00417BA8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17BA8">
        <w:rPr>
          <w:rFonts w:ascii="Times New Roman" w:eastAsia="Times New Roman" w:hAnsi="Times New Roman" w:cs="Times New Roman"/>
          <w:kern w:val="0"/>
          <w14:ligatures w14:val="none"/>
        </w:rPr>
        <w:t>Specify whether planting occurs at the beginning or end of each year, so cohort ages are consistent.</w:t>
      </w:r>
    </w:p>
    <w:p w14:paraId="795AC687" w14:textId="77777777" w:rsidR="00417BA8" w:rsidRPr="00417BA8" w:rsidRDefault="00417BA8" w:rsidP="00417B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17BA8">
        <w:rPr>
          <w:rFonts w:ascii="Times New Roman" w:eastAsia="Times New Roman" w:hAnsi="Symbol" w:cs="Times New Roman"/>
          <w:kern w:val="0"/>
          <w14:ligatures w14:val="none"/>
        </w:rPr>
        <w:lastRenderedPageBreak/>
        <w:t></w:t>
      </w:r>
      <w:r w:rsidRPr="00417BA8">
        <w:rPr>
          <w:rFonts w:ascii="Times New Roman" w:eastAsia="Times New Roman" w:hAnsi="Times New Roman" w:cs="Times New Roman"/>
          <w:kern w:val="0"/>
          <w14:ligatures w14:val="none"/>
        </w:rPr>
        <w:t xml:space="preserve">  </w:t>
      </w:r>
      <w:r w:rsidRPr="00417BA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Hybrid choices and tree-growth assumptions</w:t>
      </w:r>
    </w:p>
    <w:p w14:paraId="2A7F1B4F" w14:textId="77777777" w:rsidR="00417BA8" w:rsidRPr="00417BA8" w:rsidRDefault="00417BA8" w:rsidP="00417BA8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17BA8">
        <w:rPr>
          <w:rFonts w:ascii="Times New Roman" w:eastAsia="Times New Roman" w:hAnsi="Times New Roman" w:cs="Times New Roman"/>
          <w:kern w:val="0"/>
          <w14:ligatures w14:val="none"/>
        </w:rPr>
        <w:t>Compare Beaupre, Gibecq, Robusta and Trichobel separately, include a mixture, or both?</w:t>
      </w:r>
    </w:p>
    <w:p w14:paraId="69477FB0" w14:textId="77777777" w:rsidR="00417BA8" w:rsidRPr="00417BA8" w:rsidRDefault="00417BA8" w:rsidP="00417BA8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17BA8">
        <w:rPr>
          <w:rFonts w:ascii="Times New Roman" w:eastAsia="Times New Roman" w:hAnsi="Times New Roman" w:cs="Times New Roman"/>
          <w:kern w:val="0"/>
          <w14:ligatures w14:val="none"/>
        </w:rPr>
        <w:t>For a mixture, what planting proportions?</w:t>
      </w:r>
    </w:p>
    <w:p w14:paraId="76FA628B" w14:textId="7C0F714B" w:rsidR="00417BA8" w:rsidRPr="00417BA8" w:rsidRDefault="00417BA8" w:rsidP="00417BA8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17BA8">
        <w:rPr>
          <w:rFonts w:ascii="Times New Roman" w:eastAsia="Times New Roman" w:hAnsi="Times New Roman" w:cs="Times New Roman"/>
          <w:kern w:val="0"/>
          <w14:ligatures w14:val="none"/>
        </w:rPr>
        <w:t xml:space="preserve">Which observed management history </w:t>
      </w:r>
      <w:r>
        <w:rPr>
          <w:rFonts w:ascii="Times New Roman" w:eastAsia="Times New Roman" w:hAnsi="Times New Roman" w:cs="Times New Roman"/>
          <w:kern w:val="0"/>
          <w:lang w:val="en-GB"/>
          <w14:ligatures w14:val="none"/>
        </w:rPr>
        <w:t xml:space="preserve">(treatment) </w:t>
      </w:r>
      <w:r w:rsidRPr="00417BA8">
        <w:rPr>
          <w:rFonts w:ascii="Times New Roman" w:eastAsia="Times New Roman" w:hAnsi="Times New Roman" w:cs="Times New Roman"/>
          <w:kern w:val="0"/>
          <w14:ligatures w14:val="none"/>
        </w:rPr>
        <w:t>supplies the growth trajectory?</w:t>
      </w:r>
      <w:r>
        <w:rPr>
          <w:rFonts w:ascii="Times New Roman" w:eastAsia="Times New Roman" w:hAnsi="Times New Roman" w:cs="Times New Roman"/>
          <w:kern w:val="0"/>
          <w:lang w:val="en-GB"/>
          <w14:ligatures w14:val="none"/>
        </w:rPr>
        <w:t xml:space="preserve"> Is it an average? </w:t>
      </w:r>
    </w:p>
    <w:p w14:paraId="5D8D29C6" w14:textId="77777777" w:rsidR="00417BA8" w:rsidRPr="00417BA8" w:rsidRDefault="00417BA8" w:rsidP="00417B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17BA8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417BA8">
        <w:rPr>
          <w:rFonts w:ascii="Times New Roman" w:eastAsia="Times New Roman" w:hAnsi="Times New Roman" w:cs="Times New Roman"/>
          <w:kern w:val="0"/>
          <w14:ligatures w14:val="none"/>
        </w:rPr>
        <w:t xml:space="preserve">  </w:t>
      </w:r>
      <w:r w:rsidRPr="00417BA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How SOC develops through time</w:t>
      </w:r>
    </w:p>
    <w:p w14:paraId="0B88830D" w14:textId="77777777" w:rsidR="00417BA8" w:rsidRPr="00417BA8" w:rsidRDefault="00417BA8" w:rsidP="00417BA8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17BA8">
        <w:rPr>
          <w:rFonts w:ascii="Times New Roman" w:eastAsia="Times New Roman" w:hAnsi="Times New Roman" w:cs="Times New Roman"/>
          <w:kern w:val="0"/>
          <w14:ligatures w14:val="none"/>
        </w:rPr>
        <w:t xml:space="preserve">Your supplied annualised rates are </w:t>
      </w:r>
      <w:r w:rsidRPr="00417BA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0.866</w:t>
      </w:r>
      <w:r w:rsidRPr="00417BA8">
        <w:rPr>
          <w:rFonts w:ascii="Times New Roman" w:eastAsia="Times New Roman" w:hAnsi="Times New Roman" w:cs="Times New Roman"/>
          <w:kern w:val="0"/>
          <w14:ligatures w14:val="none"/>
        </w:rPr>
        <w:t xml:space="preserve"> for 19-year grassland, </w:t>
      </w:r>
      <w:r w:rsidRPr="00417BA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0.408</w:t>
      </w:r>
      <w:r w:rsidRPr="00417BA8">
        <w:rPr>
          <w:rFonts w:ascii="Times New Roman" w:eastAsia="Times New Roman" w:hAnsi="Times New Roman" w:cs="Times New Roman"/>
          <w:kern w:val="0"/>
          <w14:ligatures w14:val="none"/>
        </w:rPr>
        <w:t xml:space="preserve"> for 32-year grassland, and </w:t>
      </w:r>
      <w:r w:rsidRPr="00417BA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0.658 Mg C ha⁻¹ yr⁻¹</w:t>
      </w:r>
      <w:r w:rsidRPr="00417BA8">
        <w:rPr>
          <w:rFonts w:ascii="Times New Roman" w:eastAsia="Times New Roman" w:hAnsi="Times New Roman" w:cs="Times New Roman"/>
          <w:kern w:val="0"/>
          <w14:ligatures w14:val="none"/>
        </w:rPr>
        <w:t xml:space="preserve"> for 32-year tree rows.</w:t>
      </w:r>
    </w:p>
    <w:p w14:paraId="2DDCD720" w14:textId="2E2C09D4" w:rsidR="00417BA8" w:rsidRPr="00417BA8" w:rsidRDefault="00417BA8" w:rsidP="00417BA8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17BA8">
        <w:rPr>
          <w:rFonts w:ascii="Times New Roman" w:eastAsia="Times New Roman" w:hAnsi="Times New Roman" w:cs="Times New Roman"/>
          <w:kern w:val="0"/>
          <w14:ligatures w14:val="none"/>
        </w:rPr>
        <w:t>construct a trajectory constrained by the observed stock excesses at those ages</w:t>
      </w:r>
      <w:r>
        <w:rPr>
          <w:rFonts w:ascii="Times New Roman" w:eastAsia="Times New Roman" w:hAnsi="Times New Roman" w:cs="Times New Roman"/>
          <w:kern w:val="0"/>
          <w:lang w:val="en-GB"/>
          <w14:ligatures w14:val="none"/>
        </w:rPr>
        <w:t>?</w:t>
      </w:r>
    </w:p>
    <w:p w14:paraId="04595017" w14:textId="77777777" w:rsidR="00417BA8" w:rsidRPr="00417BA8" w:rsidRDefault="00417BA8" w:rsidP="00417BA8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17BA8">
        <w:rPr>
          <w:rFonts w:ascii="Times New Roman" w:eastAsia="Times New Roman" w:hAnsi="Times New Roman" w:cs="Times New Roman"/>
          <w:kern w:val="0"/>
          <w14:ligatures w14:val="none"/>
        </w:rPr>
        <w:t>Weight tree-row and grassland contributions by their respective area fractions.</w:t>
      </w:r>
    </w:p>
    <w:p w14:paraId="71622711" w14:textId="77777777" w:rsidR="00417BA8" w:rsidRPr="00417BA8" w:rsidRDefault="00417BA8" w:rsidP="00417B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17BA8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417BA8">
        <w:rPr>
          <w:rFonts w:ascii="Times New Roman" w:eastAsia="Times New Roman" w:hAnsi="Times New Roman" w:cs="Times New Roman"/>
          <w:kern w:val="0"/>
          <w14:ligatures w14:val="none"/>
        </w:rPr>
        <w:t xml:space="preserve">  </w:t>
      </w:r>
      <w:r w:rsidRPr="00417BA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Belowground biomass</w:t>
      </w:r>
    </w:p>
    <w:p w14:paraId="5D81B787" w14:textId="77777777" w:rsidR="00417BA8" w:rsidRPr="00417BA8" w:rsidRDefault="00417BA8" w:rsidP="00417BA8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17BA8">
        <w:rPr>
          <w:rFonts w:ascii="Times New Roman" w:eastAsia="Times New Roman" w:hAnsi="Times New Roman" w:cs="Times New Roman"/>
          <w:kern w:val="0"/>
          <w14:ligatures w14:val="none"/>
        </w:rPr>
        <w:t xml:space="preserve">Confirm </w:t>
      </w:r>
      <w:r w:rsidRPr="00417BA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BGB C = 0.26 × AGB C at each age</w:t>
      </w:r>
      <w:r w:rsidRPr="00417BA8">
        <w:rPr>
          <w:rFonts w:ascii="Times New Roman" w:eastAsia="Times New Roman" w:hAnsi="Times New Roman" w:cs="Times New Roman"/>
          <w:kern w:val="0"/>
          <w14:ligatures w14:val="none"/>
        </w:rPr>
        <w:t xml:space="preserve"> as the central assumption.</w:t>
      </w:r>
    </w:p>
    <w:p w14:paraId="546A95BA" w14:textId="67AC53DF" w:rsidR="00417BA8" w:rsidRPr="00417BA8" w:rsidRDefault="00417BA8" w:rsidP="00417BA8">
      <w:pPr>
        <w:pStyle w:val="ListParagraph"/>
        <w:numPr>
          <w:ilvl w:val="0"/>
          <w:numId w:val="18"/>
        </w:numPr>
      </w:pPr>
      <w:r w:rsidRPr="00417BA8">
        <w:rPr>
          <w:rFonts w:ascii="Times New Roman" w:eastAsia="Times New Roman" w:hAnsi="Times New Roman" w:cs="Times New Roman"/>
          <w:kern w:val="0"/>
          <w14:ligatures w14:val="none"/>
        </w:rPr>
        <w:t>Include 0.20 and 0.40 as sensitivity cases?</w:t>
      </w:r>
      <w:r w:rsidRPr="00417BA8">
        <w:rPr>
          <w:rFonts w:ascii="Times New Roman" w:eastAsia="Times New Roman" w:hAnsi="Times New Roman" w:cs="Times New Roman"/>
          <w:kern w:val="0"/>
          <w:lang w:val="en-GB"/>
          <w14:ligatures w14:val="none"/>
        </w:rPr>
        <w:t xml:space="preserve"> </w:t>
      </w:r>
      <w:r w:rsidRPr="00417BA8">
        <w:rPr>
          <w:highlight w:val="yellow"/>
        </w:rPr>
        <w:t>Schulz-Nielsen, L., Burmeister, J.-M., Fiege, C., Richter, R. and Pecenka, R. (2026). Management Effects on Biomass Partitioning in Fast-Growing Poplar in Brandenburg. Forests 17(3), 395. Published 23 March 2026. https://doi.org/10.3390/f17030395</w:t>
      </w:r>
    </w:p>
    <w:p w14:paraId="17FED8B0" w14:textId="0C0A92EA" w:rsidR="00417BA8" w:rsidRPr="00417BA8" w:rsidRDefault="00417BA8" w:rsidP="00417BA8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17BA8">
        <w:rPr>
          <w:rFonts w:ascii="Times New Roman" w:eastAsia="Times New Roman" w:hAnsi="Times New Roman" w:cs="Times New Roman"/>
          <w:kern w:val="0"/>
          <w14:ligatures w14:val="none"/>
        </w:rPr>
        <w:t xml:space="preserve">Retain 50% carbon content for both </w:t>
      </w:r>
      <w:r>
        <w:rPr>
          <w:rFonts w:ascii="Times New Roman" w:eastAsia="Times New Roman" w:hAnsi="Times New Roman" w:cs="Times New Roman"/>
          <w:kern w:val="0"/>
          <w:lang w:val="en-GB"/>
          <w14:ligatures w14:val="none"/>
        </w:rPr>
        <w:t>AGB and BGB</w:t>
      </w:r>
      <w:r w:rsidRPr="00417BA8">
        <w:rPr>
          <w:rFonts w:ascii="Times New Roman" w:eastAsia="Times New Roman" w:hAnsi="Times New Roman" w:cs="Times New Roman"/>
          <w:kern w:val="0"/>
          <w14:ligatures w14:val="none"/>
        </w:rPr>
        <w:t xml:space="preserve"> pools.</w:t>
      </w:r>
    </w:p>
    <w:p w14:paraId="26CBA2CB" w14:textId="77777777" w:rsidR="00417BA8" w:rsidRPr="00417BA8" w:rsidRDefault="00417BA8" w:rsidP="00417B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17BA8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417BA8">
        <w:rPr>
          <w:rFonts w:ascii="Times New Roman" w:eastAsia="Times New Roman" w:hAnsi="Times New Roman" w:cs="Times New Roman"/>
          <w:kern w:val="0"/>
          <w14:ligatures w14:val="none"/>
        </w:rPr>
        <w:t xml:space="preserve">  </w:t>
      </w:r>
      <w:r w:rsidRPr="00417BA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Headline outputs and net-zero comparison</w:t>
      </w:r>
    </w:p>
    <w:p w14:paraId="6D310AD4" w14:textId="77777777" w:rsidR="00417BA8" w:rsidRPr="00417BA8" w:rsidRDefault="00417BA8" w:rsidP="00417BA8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17BA8">
        <w:rPr>
          <w:rFonts w:ascii="Times New Roman" w:eastAsia="Times New Roman" w:hAnsi="Times New Roman" w:cs="Times New Roman"/>
          <w:kern w:val="0"/>
          <w14:ligatures w14:val="none"/>
        </w:rPr>
        <w:t>Annual additional accumulation, cumulative additional carbon stock, and both expressed as CO₂.</w:t>
      </w:r>
    </w:p>
    <w:p w14:paraId="0D7952FE" w14:textId="2E8260B5" w:rsidR="00417BA8" w:rsidRPr="00417BA8" w:rsidRDefault="00417BA8" w:rsidP="00417BA8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17BA8">
        <w:rPr>
          <w:rFonts w:ascii="Times New Roman" w:eastAsia="Times New Roman" w:hAnsi="Times New Roman" w:cs="Times New Roman"/>
          <w:kern w:val="0"/>
          <w14:ligatures w14:val="none"/>
        </w:rPr>
        <w:t xml:space="preserve">Show AGB separately and the combined estimate with </w:t>
      </w:r>
      <w:r>
        <w:rPr>
          <w:rFonts w:ascii="Times New Roman" w:eastAsia="Times New Roman" w:hAnsi="Times New Roman" w:cs="Times New Roman"/>
          <w:kern w:val="0"/>
          <w:lang w:val="en-GB"/>
          <w14:ligatures w14:val="none"/>
        </w:rPr>
        <w:t xml:space="preserve">SOC and BGB C </w:t>
      </w:r>
      <w:r w:rsidRPr="00417BA8">
        <w:rPr>
          <w:rFonts w:ascii="Times New Roman" w:eastAsia="Times New Roman" w:hAnsi="Times New Roman" w:cs="Times New Roman"/>
          <w:kern w:val="0"/>
          <w14:ligatures w14:val="none"/>
        </w:rPr>
        <w:t>components.</w:t>
      </w:r>
    </w:p>
    <w:p w14:paraId="57E2213C" w14:textId="3FAC374F" w:rsidR="00417BA8" w:rsidRPr="00417BA8" w:rsidRDefault="00417BA8" w:rsidP="00417BA8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17BA8">
        <w:rPr>
          <w:rFonts w:ascii="Times New Roman" w:eastAsia="Times New Roman" w:hAnsi="Times New Roman" w:cs="Times New Roman"/>
          <w:kern w:val="0"/>
          <w14:ligatures w14:val="none"/>
        </w:rPr>
        <w:t xml:space="preserve">If expressing a contribution to net zero, </w:t>
      </w:r>
      <w:r>
        <w:rPr>
          <w:rFonts w:ascii="Times New Roman" w:eastAsia="Times New Roman" w:hAnsi="Times New Roman" w:cs="Times New Roman"/>
          <w:kern w:val="0"/>
          <w:lang w:val="en-GB"/>
          <w14:ligatures w14:val="none"/>
        </w:rPr>
        <w:t xml:space="preserve">we need to </w:t>
      </w:r>
      <w:r w:rsidRPr="00417BA8">
        <w:rPr>
          <w:rFonts w:ascii="Times New Roman" w:eastAsia="Times New Roman" w:hAnsi="Times New Roman" w:cs="Times New Roman"/>
          <w:kern w:val="0"/>
          <w14:ligatures w14:val="none"/>
        </w:rPr>
        <w:t>choose the emissions benchmark: national emissions, agricultural emissions, or a future residual-emissions pathway. Compare annual removal with annual emissions.</w:t>
      </w:r>
    </w:p>
    <w:p w14:paraId="1921D2D8" w14:textId="77777777" w:rsidR="00417BA8" w:rsidRPr="00417BA8" w:rsidRDefault="00417BA8" w:rsidP="00417B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17BA8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417BA8">
        <w:rPr>
          <w:rFonts w:ascii="Times New Roman" w:eastAsia="Times New Roman" w:hAnsi="Times New Roman" w:cs="Times New Roman"/>
          <w:kern w:val="0"/>
          <w14:ligatures w14:val="none"/>
        </w:rPr>
        <w:t xml:space="preserve">  </w:t>
      </w:r>
      <w:r w:rsidRPr="00417BA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Which comparisons belong in the paper</w:t>
      </w:r>
    </w:p>
    <w:p w14:paraId="41A25CFE" w14:textId="77777777" w:rsidR="00417BA8" w:rsidRPr="00417BA8" w:rsidRDefault="00417BA8" w:rsidP="00417BA8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17BA8">
        <w:rPr>
          <w:rFonts w:ascii="Times New Roman" w:eastAsia="Times New Roman" w:hAnsi="Times New Roman" w:cs="Times New Roman"/>
          <w:kern w:val="0"/>
          <w14:ligatures w14:val="none"/>
        </w:rPr>
        <w:t>Choose a small set of headline scenarios with a clear purpose—for example, different adoption ambitions.</w:t>
      </w:r>
    </w:p>
    <w:p w14:paraId="0CD662C7" w14:textId="77777777" w:rsidR="00417BA8" w:rsidRPr="00417BA8" w:rsidRDefault="00417BA8" w:rsidP="00417BA8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17BA8">
        <w:rPr>
          <w:rFonts w:ascii="Times New Roman" w:eastAsia="Times New Roman" w:hAnsi="Times New Roman" w:cs="Times New Roman"/>
          <w:kern w:val="0"/>
          <w14:ligatures w14:val="none"/>
        </w:rPr>
        <w:t>Treat hybrid, planting layout, SOC assumptions and root allocation as structured comparisons or sensitivities.</w:t>
      </w:r>
    </w:p>
    <w:p w14:paraId="1798325B" w14:textId="77777777" w:rsidR="00417BA8" w:rsidRPr="00417BA8" w:rsidRDefault="00417BA8" w:rsidP="00417BA8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17BA8">
        <w:rPr>
          <w:rFonts w:ascii="Times New Roman" w:eastAsia="Times New Roman" w:hAnsi="Times New Roman" w:cs="Times New Roman"/>
          <w:kern w:val="0"/>
          <w14:ligatures w14:val="none"/>
        </w:rPr>
        <w:t>Decide which uncertainties receive numerical ranges and which remain discussion limitations.</w:t>
      </w:r>
    </w:p>
    <w:p w14:paraId="194900D0" w14:textId="77777777" w:rsidR="00201C7F" w:rsidRDefault="00201C7F"/>
    <w:sectPr w:rsidR="00201C7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B05FB3"/>
    <w:multiLevelType w:val="multilevel"/>
    <w:tmpl w:val="6770C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D2016D0"/>
    <w:multiLevelType w:val="multilevel"/>
    <w:tmpl w:val="B7467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0466232"/>
    <w:multiLevelType w:val="multilevel"/>
    <w:tmpl w:val="AC5E02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4A346AC"/>
    <w:multiLevelType w:val="multilevel"/>
    <w:tmpl w:val="EDC88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8657240"/>
    <w:multiLevelType w:val="multilevel"/>
    <w:tmpl w:val="7F904F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8B01C18"/>
    <w:multiLevelType w:val="multilevel"/>
    <w:tmpl w:val="0A7483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04C7ED2"/>
    <w:multiLevelType w:val="multilevel"/>
    <w:tmpl w:val="0A269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29F3305"/>
    <w:multiLevelType w:val="multilevel"/>
    <w:tmpl w:val="0C382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42F2B06"/>
    <w:multiLevelType w:val="multilevel"/>
    <w:tmpl w:val="875C6F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53C0443"/>
    <w:multiLevelType w:val="multilevel"/>
    <w:tmpl w:val="758AB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E406EDA"/>
    <w:multiLevelType w:val="multilevel"/>
    <w:tmpl w:val="010C73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37F1F2E"/>
    <w:multiLevelType w:val="multilevel"/>
    <w:tmpl w:val="C186E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BF66589"/>
    <w:multiLevelType w:val="multilevel"/>
    <w:tmpl w:val="1F322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DC07416"/>
    <w:multiLevelType w:val="multilevel"/>
    <w:tmpl w:val="6C6CF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3CE11C7"/>
    <w:multiLevelType w:val="multilevel"/>
    <w:tmpl w:val="474696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6A211C3"/>
    <w:multiLevelType w:val="multilevel"/>
    <w:tmpl w:val="10980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0605A56"/>
    <w:multiLevelType w:val="multilevel"/>
    <w:tmpl w:val="D4D21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2B85C58"/>
    <w:multiLevelType w:val="multilevel"/>
    <w:tmpl w:val="CFFC73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9772976"/>
    <w:multiLevelType w:val="multilevel"/>
    <w:tmpl w:val="C0A4F2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DEC27C6"/>
    <w:multiLevelType w:val="multilevel"/>
    <w:tmpl w:val="FED022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39441600">
    <w:abstractNumId w:val="19"/>
  </w:num>
  <w:num w:numId="2" w16cid:durableId="1125925551">
    <w:abstractNumId w:val="9"/>
  </w:num>
  <w:num w:numId="3" w16cid:durableId="1415739402">
    <w:abstractNumId w:val="16"/>
  </w:num>
  <w:num w:numId="4" w16cid:durableId="313414559">
    <w:abstractNumId w:val="14"/>
  </w:num>
  <w:num w:numId="5" w16cid:durableId="1207640505">
    <w:abstractNumId w:val="10"/>
  </w:num>
  <w:num w:numId="6" w16cid:durableId="719014905">
    <w:abstractNumId w:val="15"/>
  </w:num>
  <w:num w:numId="7" w16cid:durableId="2138403454">
    <w:abstractNumId w:val="13"/>
  </w:num>
  <w:num w:numId="8" w16cid:durableId="829637874">
    <w:abstractNumId w:val="5"/>
  </w:num>
  <w:num w:numId="9" w16cid:durableId="688870021">
    <w:abstractNumId w:val="4"/>
  </w:num>
  <w:num w:numId="10" w16cid:durableId="1886214453">
    <w:abstractNumId w:val="18"/>
  </w:num>
  <w:num w:numId="11" w16cid:durableId="1903758887">
    <w:abstractNumId w:val="0"/>
  </w:num>
  <w:num w:numId="12" w16cid:durableId="2142844382">
    <w:abstractNumId w:val="2"/>
  </w:num>
  <w:num w:numId="13" w16cid:durableId="1086225583">
    <w:abstractNumId w:val="11"/>
  </w:num>
  <w:num w:numId="14" w16cid:durableId="2044748856">
    <w:abstractNumId w:val="3"/>
  </w:num>
  <w:num w:numId="15" w16cid:durableId="750663463">
    <w:abstractNumId w:val="17"/>
  </w:num>
  <w:num w:numId="16" w16cid:durableId="1658460492">
    <w:abstractNumId w:val="1"/>
  </w:num>
  <w:num w:numId="17" w16cid:durableId="1239900988">
    <w:abstractNumId w:val="7"/>
  </w:num>
  <w:num w:numId="18" w16cid:durableId="1163475049">
    <w:abstractNumId w:val="8"/>
  </w:num>
  <w:num w:numId="19" w16cid:durableId="1325628832">
    <w:abstractNumId w:val="12"/>
  </w:num>
  <w:num w:numId="20" w16cid:durableId="15114724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7BA8"/>
    <w:rsid w:val="00201C7F"/>
    <w:rsid w:val="002069A0"/>
    <w:rsid w:val="00417BA8"/>
    <w:rsid w:val="00540801"/>
    <w:rsid w:val="008D58F0"/>
    <w:rsid w:val="008E17DB"/>
    <w:rsid w:val="00935768"/>
    <w:rsid w:val="00A52C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7B054E"/>
  <w15:chartTrackingRefBased/>
  <w15:docId w15:val="{DEAA980B-963C-4EF1-85A5-30B33A0067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17B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17B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17BA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17B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17BA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17B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17B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17B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17B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17BA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17BA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17BA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17BA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17BA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17BA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17BA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17BA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17BA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17B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17B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17B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17B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17B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17BA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17BA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17BA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17BA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17BA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17BA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507</Words>
  <Characters>2895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Sofia Biffi</dc:creator>
  <cp:keywords/>
  <dc:description/>
  <cp:lastModifiedBy>Sofia Biffi</cp:lastModifiedBy>
  <cp:revision>2</cp:revision>
  <dcterms:created xsi:type="dcterms:W3CDTF">2026-10-22T13:39:00Z</dcterms:created>
  <dcterms:modified xsi:type="dcterms:W3CDTF">2026-10-26T09:26:00Z</dcterms:modified>
</cp:coreProperties>
</file>