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after allowing a curved age trajectory associated with stand development. Trichobel has the largest estimated absolute rainfall and temperature associations, but the uncertainty does not establish larger responses than in the other hybrids. These exploratory results suggest possible weather contributions to growth, not a causal explanation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pPr>
        <w:pStyle w:val="Heading1"/>
        <w:pageBreakBefore/>
      </w:pPr>
      <w:r>
        <w:t>Calculated results from the weather screen</w:t>
      </w:r>
    </w:p>
    <w:p>
      <w:pPr>
        <w:jc w:val="center"/>
      </w:pPr>
      <w:r>
        <w:drawing>
          <wp:inline xmlns:a="http://schemas.openxmlformats.org/drawingml/2006/main" xmlns:pic="http://schemas.openxmlformats.org/drawingml/2006/picture">
            <wp:extent cx="6035040" cy="4358640"/>
            <wp:docPr id="1" name="Picture 1" descr="Figure 1. Pearson correlations between each candidate and original PAIC, by hybrid, using 24 common complete-weather measurement years. The colour scale is centred on zero. These are descriptive associations and include shared temporal pattern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035040" cy="4358640"/>
                    </a:xfrm>
                    <a:prstGeom prst="rect"/>
                  </pic:spPr>
                </pic:pic>
              </a:graphicData>
            </a:graphic>
          </wp:inline>
        </w:drawing>
      </w:r>
    </w:p>
    <w:p>
      <w:pPr>
        <w:pStyle w:val="Caption"/>
      </w:pPr>
      <w:r>
        <w:t>Figure 1. Pearson correlations between each candidate and original PAIC, by hybrid, using 24 common complete-weather measurement years. The colour scale is centred on zero. These are descriptive associations and include shared temporal patterns.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four candidate models: age alone, age plus summer rainfall, age plus summer temperature, and age plus both. This gives four fits per hybrid and 16 fits overall, all on the same 26 years. The combined-weather model supplies the comparable associations presented in Figure 2; rainfall-only and temperature-only candidates describe the contribution of the other weather term without a stepwise search.</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pPr>
        <w:pStyle w:val="Heading1"/>
        <w:pageBreakBefore/>
      </w:pPr>
      <w:r>
        <w:t>Calculated weather associations by hybrid</w:t>
      </w:r>
    </w:p>
    <w:p>
      <w:pPr>
        <w:jc w:val="center"/>
      </w:pPr>
      <w:r>
        <w:drawing>
          <wp:inline xmlns:a="http://schemas.openxmlformats.org/drawingml/2006/main" xmlns:pic="http://schemas.openxmlformats.org/drawingml/2006/picture">
            <wp:extent cx="6035040" cy="3218688"/>
            <wp:docPr id="2" name="Picture 2" descr="Figure 2. Absolute PAIC differences associated with summer rainfall and temperature, conditional on hybrid-specific quadratic age trajectories. Dots show estimated mean differences and whiskers show pointwise 95% paired block-bootstrap intervals. Rainfall and temperature are included together. Whiskers quantify estimation uncertainty, not annual variation in the response."/>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Absolute PAIC differences associated with summer rainfall and temperature, conditional on hybrid-specific quadratic age trajectories. Dots show estimated mean differences and whiskers show pointwise 95% paired block-bootstrap intervals. Rainfall and temperature are included together. Whiskers quantify estimation uncertainty, not annual variation in the response.</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most consistent association is greater PAIC with wetter summers across all four hybrids, compatible with a contribution from summer water availability. Warmer summers are also associated with greater fitted PAIC, conditional on rainfall and the modelled age trajectory. These patterns provide a possible environmental contribution to growth during the study, rather than an independent attribution to climate change.</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accounts for the duration of multi-year PAIC intervals but cannot identify growth in missing years; using the final year’s weather leaves that timing uncertain. The 26 shared weather occasions are the basis for environmental inference; the four hybrid summaries do not multiply the independent weather sample size.</w:t>
      </w:r>
    </w:p>
    <w:p>
      <w:r>
        <w:t>Residual correlations between consecutive calendar years are approximately 0.35, 0.56, 0.29 and 0.00 for Beaupre, Gibecq, Robusta and Trichobel. Three-visit blocks preserve some local dependence, but their length is not established as sufficient. Interval endpoints remain exploratory. Stronger significance claims would require a defensible serial-error analysis or assessment of block-length sensitivity.</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2 for the weather associations and explain the hypothesis-guided variable selection in Methods. Figure 1 can document that selection in supplementary material. Figure S1 shows the fitted quadratic age trajectories at fixed weather, making the background age patterns explicit without treating them as isolated causal effects.</w:t>
      </w:r>
    </w:p>
    <w:p>
      <w:pPr>
        <w:pStyle w:val="Heading1"/>
        <w:pageBreakBefore/>
      </w:pPr>
      <w:r>
        <w:t>Supplementary age trajectories and model fit</w:t>
      </w:r>
    </w:p>
    <w:p>
      <w:pPr>
        <w:jc w:val="center"/>
      </w:pPr>
      <w:r>
        <w:drawing>
          <wp:inline xmlns:a="http://schemas.openxmlformats.org/drawingml/2006/main" xmlns:pic="http://schemas.openxmlformats.org/drawingml/2006/picture">
            <wp:extent cx="5669280" cy="4094480"/>
            <wp:docPr id="3" name="Picture 3" descr="Figure S1. Fitted mean PAIC across the observed age range, with summer temperature fixed at 15.81 °C and rainfall at 172.44 mm. Each hybrid has its own quadratic age terms. These curves illustrate model shapes; uncertainty is omitted for clarity. They are not observed growth trajectories or estimates of an isolated causal age effect."/>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4094480"/>
                    </a:xfrm>
                    <a:prstGeom prst="rect"/>
                  </pic:spPr>
                </pic:pic>
              </a:graphicData>
            </a:graphic>
          </wp:inline>
        </w:drawing>
      </w:r>
    </w:p>
    <w:p>
      <w:pPr>
        <w:pStyle w:val="Caption"/>
      </w:pPr>
      <w:r>
        <w:t>Figure S1. Fitted mean PAIC across the observed age range, with summer temperature fixed at 15.81 °C and rainfall at 172.44 mm. Each hybrid has its own quadratic age terms. These curves illustrate model shapes; uncertainty is omitted for clarity. They are not observed growth trajectories or estimates of an isolated causal age effect.</w:t>
      </w:r>
    </w:p>
    <w:p>
      <w:r>
        <w:t>The fitted age trajectory declines in Beaupre, bends modestly in Gibecq, and allows a growth peak followed by decline in Robusta and Trichobel. These are conditional descriptions of this cohort at fixed weather, not evidence that hybrids would follow the same trajectory under other management or stand conditions.</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Pseudo-R² = 1 − combined-model deviance / intercept-only deviance and therefore describes age and weather together. The last column compares the combined model with quadratic age alone. These are improvements in fitted Gamma deviance, not percentages of raw PAIC variance explained or a causal share attributable to weather. AICc comparisons of all four weather candidates are exported separately and remain descriptive because residual serial dependence persists.</w:t>
      </w:r>
    </w:p>
    <w:p>
      <w:pPr>
        <w:pStyle w:val="Caption"/>
      </w:pPr>
      <w:r>
        <w:t>Reproducibility: analysis/14_raw_paic_weather_final.R, its figures helper and 14_raw_paic_weather_checks.R; results/models/final_raw_paic_weather.rds; current final_weather_ tables and figures. Candidate weather values are reused from weather_departure_screen_data.csv; no departures from that file enter the models. Figures have 600 dpi PNG and vector PDF exports. Earlier plots are archived outside results/figures; earlier Word versions are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