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871D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Country and eligible agricultural area</w:t>
      </w:r>
    </w:p>
    <w:p w14:paraId="5DB72E50" w14:textId="38B1BCF6" w:rsidR="00417BA8" w:rsidRPr="00417BA8" w:rsidRDefault="00417BA8" w:rsidP="00417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England/UK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?</w:t>
      </w:r>
    </w:p>
    <w:p w14:paraId="5778978A" w14:textId="77777777" w:rsidR="00417BA8" w:rsidRPr="00417BA8" w:rsidRDefault="00417BA8" w:rsidP="00417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Arable land only, or other agricultural land?</w:t>
      </w:r>
    </w:p>
    <w:p w14:paraId="485A793A" w14:textId="77777777" w:rsidR="00417BA8" w:rsidRPr="00417BA8" w:rsidRDefault="00417BA8" w:rsidP="00417B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Which area dataset and reference year?</w:t>
      </w:r>
    </w:p>
    <w:p w14:paraId="0455F0E9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Future land management</w:t>
      </w:r>
    </w:p>
    <w:p w14:paraId="742B2792" w14:textId="46E794F4" w:rsidR="00417BA8" w:rsidRPr="00417BA8" w:rsidRDefault="00417BA8" w:rsidP="00417B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Will continued cropping be included as a separate scenario?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For the total area or a proportion of it? </w:t>
      </w:r>
    </w:p>
    <w:p w14:paraId="6172FB87" w14:textId="5193A5C3" w:rsidR="00417BA8" w:rsidRPr="00417BA8" w:rsidRDefault="00417BA8" w:rsidP="00417B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Can we use arable reference for this? </w:t>
      </w:r>
    </w:p>
    <w:p w14:paraId="4F80F083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Planting layout</w:t>
      </w:r>
    </w:p>
    <w:p w14:paraId="2097A0DE" w14:textId="77777777" w:rsidR="00417BA8" w:rsidRPr="00417BA8" w:rsidRDefault="00417BA8" w:rsidP="00417B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Tree-row strip width, alley width and spacing between trees within rows.</w:t>
      </w:r>
    </w:p>
    <w:p w14:paraId="74031EDD" w14:textId="77777777" w:rsidR="00417BA8" w:rsidRPr="00417BA8" w:rsidRDefault="00417BA8" w:rsidP="00417B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Derive tree density and the tree-row/grassland area fractions consistently from that geometry.</w:t>
      </w:r>
    </w:p>
    <w:p w14:paraId="36C409A9" w14:textId="77777777" w:rsidR="00417BA8" w:rsidRPr="00417BA8" w:rsidRDefault="00417BA8" w:rsidP="00417B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Decide how far density can differ from the experiment while assuming the same growth per tree.</w:t>
      </w:r>
    </w:p>
    <w:p w14:paraId="19B35829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Planting ambition and annual planting schedule</w:t>
      </w:r>
    </w:p>
    <w:p w14:paraId="1049E67A" w14:textId="77777777" w:rsidR="00417BA8" w:rsidRPr="00417BA8" w:rsidRDefault="00417BA8" w:rsidP="00417B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What percentage or number of hectares will be planted?</w:t>
      </w:r>
    </w:p>
    <w:p w14:paraId="7E1B9807" w14:textId="77777777" w:rsidR="00417BA8" w:rsidRPr="00417BA8" w:rsidRDefault="00417BA8" w:rsidP="00417B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All at once, a constant annual area, or a gradual increase in planting capacity?</w:t>
      </w:r>
    </w:p>
    <w:p w14:paraId="03A45037" w14:textId="77777777" w:rsidR="00417BA8" w:rsidRPr="00417BA8" w:rsidRDefault="00417BA8" w:rsidP="00417B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By which year must the target area be reached?</w:t>
      </w:r>
    </w:p>
    <w:p w14:paraId="6625D31C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Projection dates</w:t>
      </w:r>
    </w:p>
    <w:p w14:paraId="5420BA5A" w14:textId="77777777" w:rsidR="00417BA8" w:rsidRPr="00417BA8" w:rsidRDefault="00417BA8" w:rsidP="00417B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What is year zero, and which calendar year ends the 30-year programme?</w:t>
      </w:r>
    </w:p>
    <w:p w14:paraId="0699FF17" w14:textId="77777777" w:rsidR="00417BA8" w:rsidRPr="00417BA8" w:rsidRDefault="00417BA8" w:rsidP="00417B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Include an additional 2050 result if useful?</w:t>
      </w:r>
    </w:p>
    <w:p w14:paraId="5CDBDA83" w14:textId="77777777" w:rsidR="00417BA8" w:rsidRPr="00417BA8" w:rsidRDefault="00417BA8" w:rsidP="00417B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Specify whether planting occurs at the beginning or end of each year, so cohort ages are consistent.</w:t>
      </w:r>
    </w:p>
    <w:p w14:paraId="795AC687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Hybrid choices and tree-growth assumptions</w:t>
      </w:r>
    </w:p>
    <w:p w14:paraId="2A7F1B4F" w14:textId="77777777" w:rsidR="00417BA8" w:rsidRPr="00417BA8" w:rsidRDefault="00417BA8" w:rsidP="00417B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Compare Beaupre, Gibecq, Robusta and Trichobel separately, include a mixture, or both?</w:t>
      </w:r>
    </w:p>
    <w:p w14:paraId="69477FB0" w14:textId="77777777" w:rsidR="00417BA8" w:rsidRPr="00417BA8" w:rsidRDefault="00417BA8" w:rsidP="00417B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For a mixture, what planting proportions?</w:t>
      </w:r>
    </w:p>
    <w:p w14:paraId="76FA628B" w14:textId="7C0F714B" w:rsidR="00417BA8" w:rsidRPr="00417BA8" w:rsidRDefault="00417BA8" w:rsidP="00417B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Which observed management history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(treatment) 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supplies the growth trajectory?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Is it an average? </w:t>
      </w:r>
    </w:p>
    <w:p w14:paraId="5D8D29C6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How SOC develops through time</w:t>
      </w:r>
    </w:p>
    <w:p w14:paraId="0B88830D" w14:textId="77777777" w:rsidR="00417BA8" w:rsidRPr="00417BA8" w:rsidRDefault="00417BA8" w:rsidP="00417B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Your supplied annualised rates are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0.866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19-year grassland,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0.408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32-year grassland, and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0.658 Mg C ha⁻¹ yr⁻¹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for 32-year tree rows.</w:t>
      </w:r>
    </w:p>
    <w:p w14:paraId="2DDCD720" w14:textId="2E2C09D4" w:rsidR="00417BA8" w:rsidRPr="00417BA8" w:rsidRDefault="00417BA8" w:rsidP="00417B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construct a trajectory constrained by the observed stock excesses at those ages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?</w:t>
      </w:r>
    </w:p>
    <w:p w14:paraId="04595017" w14:textId="77777777" w:rsidR="00417BA8" w:rsidRPr="00417BA8" w:rsidRDefault="00417BA8" w:rsidP="00417B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Weight tree-row and grassland contributions by their respective area fractions.</w:t>
      </w:r>
    </w:p>
    <w:p w14:paraId="71622711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Belowground biomass</w:t>
      </w:r>
    </w:p>
    <w:p w14:paraId="5D81B787" w14:textId="77777777" w:rsidR="00417BA8" w:rsidRPr="00417BA8" w:rsidRDefault="00417BA8" w:rsidP="00417B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 xml:space="preserve">Confirm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BGB C = 0.26 × AGB C at each age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as the central assumption.</w:t>
      </w:r>
    </w:p>
    <w:p w14:paraId="546A95BA" w14:textId="67AC53DF" w:rsidR="00417BA8" w:rsidRPr="00417BA8" w:rsidRDefault="00417BA8" w:rsidP="00417BA8">
      <w:pPr>
        <w:pStyle w:val="ListParagraph"/>
        <w:numPr>
          <w:ilvl w:val="0"/>
          <w:numId w:val="18"/>
        </w:num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Include 0.20 and 0.40 as sensitivity cases?</w:t>
      </w:r>
      <w:r w:rsidRPr="00417BA8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 </w:t>
      </w:r>
      <w:r w:rsidRPr="00417BA8">
        <w:rPr>
          <w:highlight w:val="yellow"/>
        </w:rPr>
        <w:t>Schulz-Nielsen, L., Burmeister, J.-M., Fiege, C., Richter, R. and Pecenka, R. (2026). Management Effects on Biomass Partitioning in Fast-Growing Poplar in Brandenburg. Forests 17(3), 395. Published 23 March 2026. https://doi.org/10.3390/f17030395</w:t>
      </w:r>
    </w:p>
    <w:p w14:paraId="17FED8B0" w14:textId="0C0A92EA" w:rsidR="00417BA8" w:rsidRPr="00417BA8" w:rsidRDefault="00417BA8" w:rsidP="00417B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Retain 50% carbon content for both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AGB and BGB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pools.</w:t>
      </w:r>
    </w:p>
    <w:p w14:paraId="26CBA2CB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Headline outputs and net-zero comparison</w:t>
      </w:r>
    </w:p>
    <w:p w14:paraId="6D310AD4" w14:textId="77777777" w:rsidR="00417BA8" w:rsidRPr="00417BA8" w:rsidRDefault="00417BA8" w:rsidP="00417B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Annual additional accumulation, cumulative additional carbon stock, and both expressed as CO₂.</w:t>
      </w:r>
    </w:p>
    <w:p w14:paraId="0D7952FE" w14:textId="2E8260B5" w:rsidR="00417BA8" w:rsidRPr="00417BA8" w:rsidRDefault="00417BA8" w:rsidP="00417B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Show AGB separately and the combined estimate with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SOC and BGB C 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components.</w:t>
      </w:r>
    </w:p>
    <w:p w14:paraId="57E2213C" w14:textId="3FAC374F" w:rsidR="00417BA8" w:rsidRPr="00417BA8" w:rsidRDefault="00417BA8" w:rsidP="00417B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If expressing a contribution to net zero, </w:t>
      </w:r>
      <w:r>
        <w:rPr>
          <w:rFonts w:ascii="Times New Roman" w:eastAsia="Times New Roman" w:hAnsi="Times New Roman" w:cs="Times New Roman"/>
          <w:kern w:val="0"/>
          <w:lang w:val="en-GB"/>
          <w14:ligatures w14:val="none"/>
        </w:rPr>
        <w:t xml:space="preserve">we need to 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choose the emissions benchmark: national emissions, agricultural emissions, or a future residual-emissions pathway. Compare annual removal with annual emissions.</w:t>
      </w:r>
    </w:p>
    <w:p w14:paraId="1921D2D8" w14:textId="77777777" w:rsidR="00417BA8" w:rsidRPr="00417BA8" w:rsidRDefault="00417BA8" w:rsidP="00417B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Symbol" w:cs="Times New Roman"/>
          <w:kern w:val="0"/>
          <w:lang/>
          <w14:ligatures w14:val="none"/>
        </w:rPr>
        <w:t></w:t>
      </w: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 xml:space="preserve">  </w:t>
      </w:r>
      <w:r w:rsidRPr="00417BA8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Which comparisons belong in the paper</w:t>
      </w:r>
    </w:p>
    <w:p w14:paraId="41A25CFE" w14:textId="77777777" w:rsidR="00417BA8" w:rsidRPr="00417BA8" w:rsidRDefault="00417BA8" w:rsidP="00417B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Choose a small set of headline scenarios with a clear purpose—for example, different adoption ambitions.</w:t>
      </w:r>
    </w:p>
    <w:p w14:paraId="0CD662C7" w14:textId="77777777" w:rsidR="00417BA8" w:rsidRPr="00417BA8" w:rsidRDefault="00417BA8" w:rsidP="00417B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Treat hybrid, planting layout, SOC assumptions and root allocation as structured comparisons or sensitivities.</w:t>
      </w:r>
    </w:p>
    <w:p w14:paraId="1798325B" w14:textId="77777777" w:rsidR="00417BA8" w:rsidRPr="00417BA8" w:rsidRDefault="00417BA8" w:rsidP="00417B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417BA8">
        <w:rPr>
          <w:rFonts w:ascii="Times New Roman" w:eastAsia="Times New Roman" w:hAnsi="Times New Roman" w:cs="Times New Roman"/>
          <w:kern w:val="0"/>
          <w:lang/>
          <w14:ligatures w14:val="none"/>
        </w:rPr>
        <w:t>Decide which uncertainties receive numerical ranges and which remain discussion limitations.</w:t>
      </w:r>
    </w:p>
    <w:p w14:paraId="194900D0" w14:textId="77777777" w:rsidR="00201C7F" w:rsidRDefault="00201C7F"/>
    <w:sectPr w:rsidR="00201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FB3"/>
    <w:multiLevelType w:val="multilevel"/>
    <w:tmpl w:val="6770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016D0"/>
    <w:multiLevelType w:val="multilevel"/>
    <w:tmpl w:val="B74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66232"/>
    <w:multiLevelType w:val="multilevel"/>
    <w:tmpl w:val="AC5E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346AC"/>
    <w:multiLevelType w:val="multilevel"/>
    <w:tmpl w:val="EDC8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57240"/>
    <w:multiLevelType w:val="multilevel"/>
    <w:tmpl w:val="7F90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01C18"/>
    <w:multiLevelType w:val="multilevel"/>
    <w:tmpl w:val="0A74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C7ED2"/>
    <w:multiLevelType w:val="multilevel"/>
    <w:tmpl w:val="0A2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F3305"/>
    <w:multiLevelType w:val="multilevel"/>
    <w:tmpl w:val="0C3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F2B06"/>
    <w:multiLevelType w:val="multilevel"/>
    <w:tmpl w:val="875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3C0443"/>
    <w:multiLevelType w:val="multilevel"/>
    <w:tmpl w:val="758A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06EDA"/>
    <w:multiLevelType w:val="multilevel"/>
    <w:tmpl w:val="010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7F1F2E"/>
    <w:multiLevelType w:val="multilevel"/>
    <w:tmpl w:val="C186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66589"/>
    <w:multiLevelType w:val="multilevel"/>
    <w:tmpl w:val="1F32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07416"/>
    <w:multiLevelType w:val="multilevel"/>
    <w:tmpl w:val="6C6C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CE11C7"/>
    <w:multiLevelType w:val="multilevel"/>
    <w:tmpl w:val="4746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211C3"/>
    <w:multiLevelType w:val="multilevel"/>
    <w:tmpl w:val="1098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05A56"/>
    <w:multiLevelType w:val="multilevel"/>
    <w:tmpl w:val="D4D2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85C58"/>
    <w:multiLevelType w:val="multilevel"/>
    <w:tmpl w:val="CFF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72976"/>
    <w:multiLevelType w:val="multilevel"/>
    <w:tmpl w:val="C0A4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C27C6"/>
    <w:multiLevelType w:val="multilevel"/>
    <w:tmpl w:val="FED0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441600">
    <w:abstractNumId w:val="19"/>
  </w:num>
  <w:num w:numId="2" w16cid:durableId="1125925551">
    <w:abstractNumId w:val="9"/>
  </w:num>
  <w:num w:numId="3" w16cid:durableId="1415739402">
    <w:abstractNumId w:val="16"/>
  </w:num>
  <w:num w:numId="4" w16cid:durableId="313414559">
    <w:abstractNumId w:val="14"/>
  </w:num>
  <w:num w:numId="5" w16cid:durableId="1207640505">
    <w:abstractNumId w:val="10"/>
  </w:num>
  <w:num w:numId="6" w16cid:durableId="719014905">
    <w:abstractNumId w:val="15"/>
  </w:num>
  <w:num w:numId="7" w16cid:durableId="2138403454">
    <w:abstractNumId w:val="13"/>
  </w:num>
  <w:num w:numId="8" w16cid:durableId="829637874">
    <w:abstractNumId w:val="5"/>
  </w:num>
  <w:num w:numId="9" w16cid:durableId="688870021">
    <w:abstractNumId w:val="4"/>
  </w:num>
  <w:num w:numId="10" w16cid:durableId="1886214453">
    <w:abstractNumId w:val="18"/>
  </w:num>
  <w:num w:numId="11" w16cid:durableId="1903758887">
    <w:abstractNumId w:val="0"/>
  </w:num>
  <w:num w:numId="12" w16cid:durableId="2142844382">
    <w:abstractNumId w:val="2"/>
  </w:num>
  <w:num w:numId="13" w16cid:durableId="1086225583">
    <w:abstractNumId w:val="11"/>
  </w:num>
  <w:num w:numId="14" w16cid:durableId="2044748856">
    <w:abstractNumId w:val="3"/>
  </w:num>
  <w:num w:numId="15" w16cid:durableId="750663463">
    <w:abstractNumId w:val="17"/>
  </w:num>
  <w:num w:numId="16" w16cid:durableId="1658460492">
    <w:abstractNumId w:val="1"/>
  </w:num>
  <w:num w:numId="17" w16cid:durableId="1239900988">
    <w:abstractNumId w:val="7"/>
  </w:num>
  <w:num w:numId="18" w16cid:durableId="1163475049">
    <w:abstractNumId w:val="8"/>
  </w:num>
  <w:num w:numId="19" w16cid:durableId="1325628832">
    <w:abstractNumId w:val="12"/>
  </w:num>
  <w:num w:numId="20" w16cid:durableId="151147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A8"/>
    <w:rsid w:val="00201C7F"/>
    <w:rsid w:val="00417BA8"/>
    <w:rsid w:val="00540801"/>
    <w:rsid w:val="008D58F0"/>
    <w:rsid w:val="008E17DB"/>
    <w:rsid w:val="00A5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B054E"/>
  <w15:chartTrackingRefBased/>
  <w15:docId w15:val="{DEAA980B-963C-4EF1-85A5-30B33A006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Biffi</dc:creator>
  <cp:keywords/>
  <dc:description/>
  <cp:lastModifiedBy>Sofia Biffi</cp:lastModifiedBy>
  <cp:revision>1</cp:revision>
  <dcterms:created xsi:type="dcterms:W3CDTF">2026-10-22T13:39:00Z</dcterms:created>
  <dcterms:modified xsi:type="dcterms:W3CDTF">2026-10-22T13:50:00Z</dcterms:modified>
</cp:coreProperties>
</file>