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p>
      <w:r>
        <w:br w:type="page"/>
      </w:r>
    </w:p>
    <w:p>
      <w:pPr>
        <w:pStyle w:val="Heading1"/>
      </w:pPr>
      <w:r>
        <w:t>Weather models of shared PAIC departures</w:t>
      </w:r>
    </w:p>
    <w:p>
      <w:r>
        <w:t>Update 20 October 2026. Combined June to August rainfall and temperature improve prediction of shared standardised PAIC departures relative to no weather in this exploratory comparison. This is a different response and weather window from the earlier raw PAIC mixed model, and it is not an independent confirmation after screening.</w:t>
      </w:r>
    </w:p>
    <w:p>
      <w:pPr>
        <w:pStyle w:val="Heading2"/>
      </w:pPr>
      <w:r>
        <w:t>Methods</w:t>
      </w:r>
    </w:p>
    <w:p>
      <w:r>
        <w:t>Use 26 common measurement years with positive tree-level median PAIC for all four hybrids and complete summer rainfall and temperature coverage. In each training fold, fit a separate quadratic age trajectory to log PAIC for each hybrid. Divide training residuals by their within-hybrid training residual standard deviation. Calculate held-out departures from the training-fitted age trajectory and the same training standard deviation. Average the four departures with equal hybrid weights. No held-out PAIC enters the fitted trajectories or scales.</w:t>
      </w:r>
    </w:p>
    <w:p>
      <w:r>
        <w:t>Fit linear models of shared departures using no weather, rainfall only, temperature only, or both. Age is not added to the second-stage regression. Rainfall is in 100 mm units and temperature in degrees C. Compare leave-one-year-out and five contiguous blocks of observed measurement years, keeping all hybrids from each year together. Repeat using linear rather than quadratic age detrending as a sensitivity. No automated predictor selection is performed inside this comparison; prior full-data screening remains a source of selection optimism. All multi-year increments retain the confirmed t minus 1 weather assignment.</w:t>
      </w:r>
    </w:p>
    <w:p>
      <w:pPr>
        <w:pStyle w:val="Heading2"/>
      </w:pPr>
      <w:r>
        <w:t>Calculated results</w:t>
      </w:r>
    </w:p>
    <w:p>
      <w:r>
        <w:t>Leave one year out, quadratic detrending: no-weather RMSE 1.198; rainfall only 1.158; temperature only 1.166; both 1.032. The combined model reduces RMSE by 13.9 percent relative to no weather within this scheme. Units are fold-standardised shared departures.</w:t>
      </w:r>
    </w:p>
    <w:p>
      <w:r>
        <w:t>Five contiguous blocks, quadratic detrending: no-weather RMSE 3.001; rainfall only 2.840; temperature only 2.847; both 2.459. The combined model reduces RMSE by 18.1 percent relative to no weather within this scheme. Units are fold-standardised shared departures.</w:t>
      </w:r>
    </w:p>
    <w:p>
      <w:r>
        <w:t>With linear detrending, the combined model reduces leave-one-year-out RMSE by 15.8 percent and block RMSE by 22.5 percent. Full-data combined-model slopes are 0.675 shared-departure units per 100 mm summer rainfall and 0.582 units per degree C. Its in-sample R squared is 0.305; this is not the proportion of raw PAIC causally explained by weather.</w:t>
      </w:r>
      <w:r>
        <w:t xml:space="preserve"> Omitting 1994 from scoring only reduces the leave-one-year-out advantage: no-weather RMSE 0.957 versus combined-model 0.899, about 6 percent improvement; this is an influence check, not a refit excluding that year.</w:t>
      </w:r>
    </w:p>
    <w:p>
      <w:pPr>
        <w:pStyle w:val="Heading2"/>
      </w:pPr>
      <w:r>
        <w:t>Discussion hypotheses</w:t>
      </w:r>
    </w:p>
    <w:p>
      <w:r>
        <w:t>Warmer and wetter summer conditions are associated with more positive shared departures in the fitted range. The joint model performs better than either single predictor, suggesting potentially complementary information. These associations do not establish causation or imply that warming benefits growth outside observed conditions. The earlier failure of the half-year raw PAIC model and this result are not directly comparable: exposure window, response scale, data source and model structure differ.</w:t>
      </w:r>
    </w:p>
    <w:p>
      <w:pPr>
        <w:pStyle w:val="Heading2"/>
      </w:pPr>
      <w:r>
        <w:t>Open decisions and limitations</w:t>
      </w:r>
    </w:p>
    <w:p>
      <w:r>
        <w:t>Block errors are much larger than leave-one-year-out errors. The earliest block includes a held-out shared departure of about minus 9 training standard deviations, revealing poor extrapolation of the quadratic age trajectory. Do not interpret relative block improvement as reliable long-range weather forecasting. Full-data confidence bands condition on detrending and omit trend and predictor-selection uncertainty. The response is a shared standardised log-scale departure, not an individual hybrid PAIC forecast. Before inference, assess a less fragile growth trajectory, nested screening or independent data, residual temporal dependence, weather coverage and the legacy Robusta discrepancy. Keep sampling-gap and PCA-retention caveats open.</w:t>
      </w:r>
    </w:p>
    <w:p>
      <w:r>
        <w:br w:type="page"/>
      </w:r>
    </w:p>
    <w:p>
      <w:pPr>
        <w:pStyle w:val="Heading1"/>
      </w:pPr>
      <w:r>
        <w:t>Summer weather models of shared departures</w:t>
      </w:r>
    </w:p>
    <w:p>
      <w:r>
        <w:drawing>
          <wp:inline xmlns:a="http://schemas.openxmlformats.org/drawingml/2006/main" xmlns:pic="http://schemas.openxmlformats.org/drawingml/2006/picture">
            <wp:extent cx="6080760" cy="4698769"/>
            <wp:docPr id="3" name="Picture 3"/>
            <wp:cNvGraphicFramePr>
              <a:graphicFrameLocks noChangeAspect="1"/>
            </wp:cNvGraphicFramePr>
            <a:graphic>
              <a:graphicData uri="http://schemas.openxmlformats.org/drawingml/2006/picture">
                <pic:pic>
                  <pic:nvPicPr>
                    <pic:cNvPr id="0" name="weather_departure_models_preview.png"/>
                    <pic:cNvPicPr/>
                  </pic:nvPicPr>
                  <pic:blipFill>
                    <a:blip r:embed="rId12"/>
                    <a:stretch>
                      <a:fillRect/>
                    </a:stretch>
                  </pic:blipFill>
                  <pic:spPr>
                    <a:xfrm>
                      <a:off x="0" y="0"/>
                      <a:ext cx="6080760" cy="4698769"/>
                    </a:xfrm>
                    <a:prstGeom prst="rect"/>
                  </pic:spPr>
                </pic:pic>
              </a:graphicData>
            </a:graphic>
          </wp:inline>
        </w:drawing>
      </w:r>
    </w:p>
    <w:p>
      <w:pPr>
        <w:pStyle w:val="Caption"/>
      </w:pPr>
      <w:r>
        <w:t>Curves show the combined model at the mean of the other predictor. Shading gives approximate 95 percent mean confidence intervals conditional on full-data detrending. Validation refits age trends and standardisation in each training fold; it does not undo prior full-data screening.</w:t>
      </w:r>
    </w:p>
    <w:p>
      <w:pPr>
        <w:pStyle w:val="Heading2"/>
      </w:pPr>
      <w:r>
        <w:t>Reproducible sources</w:t>
      </w:r>
    </w:p>
    <w:p>
      <w:r>
        <w:t>analysis/11_weather_departure_models.R; results/tables/weather_departure_model_validation.csv; weather_departure_model_held_out_predictions.csv; weather_departure_model_fold_audit.csv; weather_departure_model_coefficients.csv; results/models/weather_departure_models.rds.</w:t>
      </w:r>
    </w:p>
    <w:p>
      <w:r>
        <w:br w:type="page"/>
      </w:r>
    </w:p>
    <w:p>
      <w:pPr>
        <w:pStyle w:val="Heading1"/>
      </w:pPr>
      <w:r>
        <w:t>Hybrid specific summer weather associations</w:t>
      </w:r>
    </w:p>
    <w:p>
      <w:r>
        <w:t>Update 20 October 2026. Summer rainfall and temperature have positive fitted associations with growth departures in all four hybrids. Trichobel does not have a clearly larger temperature association after removing broad growth trajectories. These exploratory results do not establish equal responses or causal weather effects.</w:t>
      </w:r>
    </w:p>
    <w:p>
      <w:pPr>
        <w:pStyle w:val="Heading2"/>
      </w:pPr>
      <w:r>
        <w:t>Methods</w:t>
      </w:r>
    </w:p>
    <w:p>
      <w:r>
        <w:t>Use the same 26 common measurement years and tree-level hybrid medians as the shared-departure models. Remove a separate quadratic age trajectory from log PAIC for each hybrid and standardise residuals by their within-hybrid standard deviation. Fit hybrid-specific intercepts and summer rainfall and temperature slopes, equivalently a fully interacting joint linear model. Directly compare paired slopes rather than comparing significance within hybrids. Standardised slopes describe sensitivity relative to each hybrid variability, not absolute differences in carbon increment.</w:t>
      </w:r>
    </w:p>
    <w:p>
      <w:r>
        <w:t>For uncertainty, take 1000 paired circular moving-block bootstrap samples, each built from blocks of three ordered measurement visits. All four hybrids and their weather stay together. Refit age trends, residual scales and weather slopes in every sample. Blocks follow observed visits and can span missing-year gaps; the block length is provisional. Plot pointwise percentile intervals for slopes and calculate simultaneous approximate intervals over all 12 pairwise slope contrasts using the maximum centred, standardised bootstrap deviation. This is exploratory after full-data weather screening, not confirmatory testing.</w:t>
      </w:r>
    </w:p>
    <w:p>
      <w:pPr>
        <w:pStyle w:val="Heading2"/>
      </w:pPr>
      <w:r>
        <w:t>Calculated results</w:t>
      </w:r>
    </w:p>
    <w:p>
      <w:r>
        <w:t>Beaupre: rainfall slope 0.79 standardised units per 100 mm; temperature slope 0.56 per degree C; in-sample R squared 0.31.</w:t>
      </w:r>
    </w:p>
    <w:p>
      <w:r>
        <w:t>Gibecq: rainfall slope 0.68 standardised units per 100 mm; temperature slope 0.54 per degree C; in-sample R squared 0.25.</w:t>
      </w:r>
    </w:p>
    <w:p>
      <w:r>
        <w:t>Robusta: rainfall slope 0.62 standardised units per 100 mm; temperature slope 0.69 per degree C; in-sample R squared 0.31.</w:t>
      </w:r>
    </w:p>
    <w:p>
      <w:r>
        <w:t>Trichobel: rainfall slope 0.61 standardised units per 100 mm; temperature slope 0.55 per degree C; in-sample R squared 0.23.</w:t>
      </w:r>
    </w:p>
    <w:p>
      <w:r>
        <w:t>Of the 12 paired rainfall and temperature slope differences, 0 have simultaneous bootstrap intervals excluding zero. These are direct slope comparisons, not comparisons of separate p values. Linear detrending also gives positive slopes in every hybrid and does not place Trichobel highest for temperature. Unstandardised log-departure slopes likewise do not show a larger Trichobel temperature coefficient.</w:t>
      </w:r>
    </w:p>
    <w:p>
      <w:pPr>
        <w:pStyle w:val="Heading2"/>
      </w:pPr>
      <w:r>
        <w:t>Discussion hypotheses</w:t>
      </w:r>
    </w:p>
    <w:p>
      <w:r>
        <w:t>The later relative advantage of Trichobel is visible in observed PAIC, but it does not translate into a clearly steeper summer temperature slope in the detrended analysis. The broad hybrid trajectories can absorb a gradual divergence that coincides with warming, so this result concerns fluctuations around those trajectories. It cannot determine whether warming contributed to the longer-term divergence. Age, time and cultivation history remain entangled in this planting cohort.</w:t>
      </w:r>
    </w:p>
    <w:p>
      <w:pPr>
        <w:pStyle w:val="Heading2"/>
      </w:pPr>
      <w:r>
        <w:t>Open decisions and residual diagnostics</w:t>
      </w:r>
    </w:p>
    <w:p>
      <w:r>
        <w:t>Weather models leave substantial temporal structure. Correlations between residuals in consecutive observed calendar years are about 0.59 for Beaupre, 0.68 for Gibecq, 0.59 for Robusta and 0.30 for Trichobel. Block-bootstrap uncertainty addresses some short dependence but does not model its cause. Assess block-length and age-trend sensitivity and unresolved shared conditions before paper inference. Omit-one-year slopes are exported as influence checks. The weather variable screening, multi-year interval, coverage, Robusta legacy discrepancy and PCA-retention caveats remain open. No forecast claim is intended.</w:t>
      </w:r>
    </w:p>
    <w:p>
      <w:r>
        <w:br w:type="page"/>
      </w:r>
    </w:p>
    <w:p>
      <w:pPr>
        <w:pStyle w:val="Heading1"/>
      </w:pPr>
      <w:r>
        <w:t>Observed and fitted departures by hybrid</w:t>
      </w:r>
    </w:p>
    <w:p>
      <w:r>
        <w:drawing>
          <wp:inline xmlns:a="http://schemas.openxmlformats.org/drawingml/2006/main" xmlns:pic="http://schemas.openxmlformats.org/drawingml/2006/picture">
            <wp:extent cx="6080760" cy="4256532"/>
            <wp:docPr id="4" name="Picture 4"/>
            <wp:cNvGraphicFramePr>
              <a:graphicFrameLocks noChangeAspect="1"/>
            </wp:cNvGraphicFramePr>
            <a:graphic>
              <a:graphicData uri="http://schemas.openxmlformats.org/drawingml/2006/picture">
                <pic:pic>
                  <pic:nvPicPr>
                    <pic:cNvPr id="0" name="hybrid_weather_time_series_preview.png"/>
                    <pic:cNvPicPr/>
                  </pic:nvPicPr>
                  <pic:blipFill>
                    <a:blip r:embed="rId13"/>
                    <a:stretch>
                      <a:fillRect/>
                    </a:stretch>
                  </pic:blipFill>
                  <pic:spPr>
                    <a:xfrm>
                      <a:off x="0" y="0"/>
                      <a:ext cx="6080760" cy="4256532"/>
                    </a:xfrm>
                    <a:prstGeom prst="rect"/>
                  </pic:spPr>
                </pic:pic>
              </a:graphicData>
            </a:graphic>
          </wp:inline>
        </w:drawing>
      </w:r>
    </w:p>
    <w:p>
      <w:pPr>
        <w:pStyle w:val="Caption"/>
      </w:pPr>
      <w:r>
        <w:t>Observed departures and full-data weather fits show which peaks and troughs are captured. These are in-sample fits after removing age trajectories. The separate slope figure reports block-bootstrap intervals.</w:t>
      </w:r>
    </w:p>
    <w:p>
      <w:pPr>
        <w:pStyle w:val="Heading2"/>
      </w:pPr>
      <w:r>
        <w:t>Reproducible sources</w:t>
      </w:r>
    </w:p>
    <w:p>
      <w:r>
        <w:t>analysis/12_hybrid_weather_departures.R; results/tables/hybrid_weather_slopes.csv; hybrid_weather_paired_slope_differences.csv; hybrid_weather_sensitivity_slopes.csv; hybrid_weather_omit_year_slopes.csv; hybrid_weather_residual_summary.csv; results/models/hybrid_weather_departures.rds. Figures: hybrid_weather_time_series and hybrid_weather_slopes, PNG and PDF.</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