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p>
      <w:r>
        <w:br w:type="page"/>
      </w:r>
    </w:p>
    <w:p>
      <w:pPr>
        <w:pStyle w:val="Heading1"/>
      </w:pPr>
      <w:r>
        <w:t>Hybrid specific summer weather associations</w:t>
      </w:r>
    </w:p>
    <w:p>
      <w:r>
        <w:t>Update 20 October 2026. Summer rainfall and temperature have positive fitted associations with growth departures in all four hybrids. Trichobel does not have a clearly larger temperature association after removing broad growth trajectories. These exploratory results do not establish equal responses or causal weather effects.</w:t>
      </w:r>
    </w:p>
    <w:p>
      <w:pPr>
        <w:pStyle w:val="Heading2"/>
      </w:pPr>
      <w:r>
        <w:t>Methods</w:t>
      </w:r>
    </w:p>
    <w:p>
      <w:r>
        <w:t>Use the same 26 common measurement years and tree-level hybrid medians as the shared-departure models. Remove a separate quadratic age trajectory from log PAIC for each hybrid and standardise residuals by their within-hybrid standard deviation. Fit hybrid-specific intercepts and summer rainfall and temperature slopes, equivalently a fully interacting joint linear model. Directly compare paired slopes rather than comparing significance within hybrids. Standardised slopes describe sensitivity relative to each hybrid variability, not absolute differences in carbon increment.</w:t>
      </w:r>
    </w:p>
    <w:p>
      <w:r>
        <w:t>For uncertainty, take 1000 paired circular moving-block bootstrap samples, each built from blocks of three ordered measurement visits. All four hybrids and their weather stay together. Refit age trends, residual scales and weather slopes in every sample. Blocks follow observed visits and can span missing-year gaps; the block length is provisional. Plot pointwise percentile intervals for slopes and calculate simultaneous approximate intervals over all 12 pairwise slope contrasts using the maximum centred, standardised bootstrap deviation. This is exploratory after full-data weather screening, not confirmatory testing.</w:t>
      </w:r>
    </w:p>
    <w:p>
      <w:pPr>
        <w:pStyle w:val="Heading2"/>
      </w:pPr>
      <w:r>
        <w:t>Calculated results</w:t>
      </w:r>
    </w:p>
    <w:p>
      <w:r>
        <w:t>Beaupre: rainfall slope 0.79 standardised units per 100 mm; temperature slope 0.56 per degree C; in-sample R squared 0.31.</w:t>
      </w:r>
    </w:p>
    <w:p>
      <w:r>
        <w:t>Gibecq: rainfall slope 0.68 standardised units per 100 mm; temperature slope 0.54 per degree C; in-sample R squared 0.25.</w:t>
      </w:r>
    </w:p>
    <w:p>
      <w:r>
        <w:t>Robusta: rainfall slope 0.62 standardised units per 100 mm; temperature slope 0.69 per degree C; in-sample R squared 0.31.</w:t>
      </w:r>
    </w:p>
    <w:p>
      <w:r>
        <w:t>Trichobel: rainfall slope 0.61 standardised units per 100 mm; temperature slope 0.55 per degree C; in-sample R squared 0.23.</w:t>
      </w:r>
    </w:p>
    <w:p>
      <w:r>
        <w:t>Of the 12 paired rainfall and temperature slope differences, 0 have simultaneous bootstrap intervals excluding zero. These are direct slope comparisons, not comparisons of separate p values. Linear detrending also gives positive slopes in every hybrid and does not place Trichobel highest for temperature. Unstandardised log-departure slopes likewise do not show a larger Trichobel temperature coefficient.</w:t>
      </w:r>
    </w:p>
    <w:p>
      <w:pPr>
        <w:pStyle w:val="Heading2"/>
      </w:pPr>
      <w:r>
        <w:t>Discussion hypotheses</w:t>
      </w:r>
    </w:p>
    <w:p>
      <w:r>
        <w:t>The later relative advantage of Trichobel is visible in observed PAIC, but it does not translate into a clearly steeper summer temperature slope in the detrended analysis. The broad hybrid trajectories can absorb a gradual divergence that coincides with warming, so this result concerns fluctuations around those trajectories. It cannot determine whether warming contributed to the longer-term divergence. Age, time and cultivation history remain entangled in this planting cohort.</w:t>
      </w:r>
    </w:p>
    <w:p>
      <w:pPr>
        <w:pStyle w:val="Heading2"/>
      </w:pPr>
      <w:r>
        <w:t>Open decisions and residual diagnostics</w:t>
      </w:r>
    </w:p>
    <w:p>
      <w:r>
        <w:t>Weather models leave substantial temporal structure. Correlations between residuals in consecutive observed calendar years are about 0.59 for Beaupre, 0.68 for Gibecq, 0.59 for Robusta and 0.30 for Trichobel. Block-bootstrap uncertainty addresses some short dependence but does not model its cause. Assess block-length and age-trend sensitivity and unresolved shared conditions before paper inference. Omit-one-year slopes are exported as influence checks. The weather variable screening, multi-year interval, coverage, Robusta legacy discrepancy and PCA-retention caveats remain open. No forecast claim is intended.</w:t>
      </w:r>
    </w:p>
    <w:p>
      <w:r>
        <w:br w:type="page"/>
      </w:r>
    </w:p>
    <w:p>
      <w:pPr>
        <w:pStyle w:val="Heading1"/>
      </w:pPr>
      <w:r>
        <w:t>Observed and fitted departures by hybrid</w:t>
      </w:r>
    </w:p>
    <w:p>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hybrid_weather_time_series_preview.png"/>
                    <pic:cNvPicPr/>
                  </pic:nvPicPr>
                  <pic:blipFill>
                    <a:blip r:embed="rId13"/>
                    <a:stretch>
                      <a:fillRect/>
                    </a:stretch>
                  </pic:blipFill>
                  <pic:spPr>
                    <a:xfrm>
                      <a:off x="0" y="0"/>
                      <a:ext cx="6080760" cy="4256532"/>
                    </a:xfrm>
                    <a:prstGeom prst="rect"/>
                  </pic:spPr>
                </pic:pic>
              </a:graphicData>
            </a:graphic>
          </wp:inline>
        </w:drawing>
      </w:r>
    </w:p>
    <w:p>
      <w:pPr>
        <w:pStyle w:val="Caption"/>
      </w:pPr>
      <w:r>
        <w:t>Observed departures and full-data weather fits show which peaks and troughs are captured. These are in-sample fits after removing age trajectories. The separate slope figure reports block-bootstrap intervals.</w:t>
      </w:r>
    </w:p>
    <w:p>
      <w:pPr>
        <w:pStyle w:val="Heading2"/>
      </w:pPr>
      <w:r>
        <w:t>Reproducible sources</w:t>
      </w:r>
    </w:p>
    <w:p>
      <w:r>
        <w:t>analysis/12_hybrid_weather_departures.R; results/tables/hybrid_weather_slopes.csv; hybrid_weather_paired_slope_differences.csv; hybrid_weather_sensitivity_slopes.csv; hybrid_weather_omit_year_slopes.csv; hybrid_weather_residual_summary.csv; results/models/hybrid_weather_departures.rds. Figures: hybrid_weather_time_series and hybrid_weather_slopes, PNG and PDF.</w:t>
      </w:r>
    </w:p>
    <w:p>
      <w:r>
        <w:br w:type="page"/>
      </w:r>
    </w:p>
    <w:p>
      <w:pPr>
        <w:pStyle w:val="Heading1"/>
      </w:pPr>
      <w:r>
        <w:t>Weather associations in absolute carbon increment units</w:t>
      </w:r>
    </w:p>
    <w:p>
      <w:r>
        <w:t>Update 20 October 2026. Retain the same June to August mean air temperature and rainfall predictors, without further screening. This analysis expresses adjusted associations directly in Mg C per hectare per year and in percentages, complementing the standardised departure analysis.</w:t>
      </w:r>
    </w:p>
    <w:p>
      <w:pPr>
        <w:pStyle w:val="Heading2"/>
      </w:pPr>
      <w:r>
        <w:t>Methods</w:t>
      </w:r>
    </w:p>
    <w:p>
      <w:r>
        <w:t>Fit original positive PAIC with Gamma log-link models, allowing each hybrid its own intercept, quadratic age trajectory and rainfall and temperature slopes. This is equivalent in fitted means to a fully interacting joint model, verified numerically. No response standardisation or preliminary detrending is used. Use the same 26 years and tree-level hybrid medians. Retain the confirmed measurement-year t to growth-year t minus 1 alignment, including annualised multi-year increments.</w:t>
      </w:r>
    </w:p>
    <w:p>
      <w:r>
        <w:t>Average adjusted predictions over the same 26 observed ages for all hybrids. Temperature contrasts compare 15.31 with 16.31 degrees C, holding rainfall at its observed mean. Rainfall contrasts compare 122.4 with 222.4 mm, holding temperature at its mean. These are 1 degree C and 100 mm differences centred within the observed range, not extrapolated warming scenarios. They are model-adjusted comparisons across a common age distribution, not changes observed in a particular pair of years.</w:t>
      </w:r>
    </w:p>
    <w:p>
      <w:r>
        <w:t>Use 1000 paired circular block-bootstrap samples of three observed visits, retaining all hybrids within each visit and refitting the full models. Report pointwise percentile intervals for effects and direct pairwise differences. These are exploratory intervals without multiplicity adjustment; none of the pairwise intervals exclude zero. Rare bootstrap fits give extreme absolute contrasts when age ranges are poorly represented; tail diagnostics are exported and no replicates are discarded. Percentile intervals avoid treating those tails as approximately normal, but do not resolve age-extrapolation instability. Blocks may span sampling gaps. Percent differences need not rank hybrids like absolute differences.</w:t>
      </w:r>
    </w:p>
    <w:p>
      <w:pPr>
        <w:pStyle w:val="Heading2"/>
      </w:pPr>
      <w:r>
        <w:t>Calculated results</w:t>
      </w:r>
    </w:p>
    <w:p>
      <w:r>
        <w:t>Beaupre: temperature contrast +0.44 Mg C per hectare per year (+40.5 percent); rainfall contrast +0.69 (+68.9 percent). The exported figure and tables include uncertainty intervals.</w:t>
      </w:r>
    </w:p>
    <w:p>
      <w:r>
        <w:t>Gibecq: temperature contrast +0.39 Mg C per hectare per year (+47.6 percent); rainfall contrast +0.66 (+91.9 percent). The exported figure and tables include uncertainty intervals.</w:t>
      </w:r>
    </w:p>
    <w:p>
      <w:r>
        <w:t>Robusta: temperature contrast +0.53 Mg C per hectare per year (+53.6 percent); rainfall contrast +0.56 (+57.5 percent). The exported figure and tables include uncertainty intervals.</w:t>
      </w:r>
    </w:p>
    <w:p>
      <w:r>
        <w:t>Trichobel: temperature contrast +0.58 Mg C per hectare per year (+32.2 percent); rainfall contrast +0.77 (+44.3 percent). The exported figure and tables include uncertainty intervals.</w:t>
      </w:r>
    </w:p>
    <w:p>
      <w:r>
        <w:t>Of the 12 direct pairwise absolute-effect comparisons, 0 have pointwise paired bootstrap intervals excluding zero. This is an exploratory post-screen comparison, not confirmation of causal differences. Linear age-trend results are exported as a separate sensitivity and should be considered before selecting a final specification.</w:t>
      </w:r>
    </w:p>
    <w:p>
      <w:pPr>
        <w:pStyle w:val="Heading2"/>
      </w:pPr>
      <w:r>
        <w:t>Discussion and open decisions</w:t>
      </w:r>
    </w:p>
    <w:p>
      <w:r>
        <w:t>Absolute responses combine baseline carbon increment with the proportional weather association. A faster-growing hybrid can therefore have a larger absolute response without a larger percentage or standardised response. Neither metric establishes heat tolerance. Associations are adjusted for the chosen age trajectory; this cannot separate age from calendar-time trends or cultivation history in one planting cohort. Previously detected residual temporal structure remains relevant. Variable selection uncertainty, block length, age specification, weather coverage and sampling-gap limitations remain open; the response now matches original PAIC units, not a forecasting objective.</w:t>
      </w:r>
    </w:p>
    <w:p>
      <w:r>
        <w:br w:type="page"/>
      </w:r>
    </w:p>
    <w:p>
      <w:pPr>
        <w:pStyle w:val="Heading1"/>
      </w:pPr>
      <w:r>
        <w:t>Adjusted carbon increment differences</w:t>
      </w:r>
    </w:p>
    <w:p>
      <w:r>
        <w:drawing>
          <wp:inline xmlns:a="http://schemas.openxmlformats.org/drawingml/2006/main" xmlns:pic="http://schemas.openxmlformats.org/drawingml/2006/picture">
            <wp:extent cx="6080760" cy="3466033"/>
            <wp:docPr id="5" name="Picture 5"/>
            <wp:cNvGraphicFramePr>
              <a:graphicFrameLocks noChangeAspect="1"/>
            </wp:cNvGraphicFramePr>
            <a:graphic>
              <a:graphicData uri="http://schemas.openxmlformats.org/drawingml/2006/picture">
                <pic:pic>
                  <pic:nvPicPr>
                    <pic:cNvPr id="0" name="absolute_weather_differences_preview.png"/>
                    <pic:cNvPicPr/>
                  </pic:nvPicPr>
                  <pic:blipFill>
                    <a:blip r:embed="rId14"/>
                    <a:stretch>
                      <a:fillRect/>
                    </a:stretch>
                  </pic:blipFill>
                  <pic:spPr>
                    <a:xfrm>
                      <a:off x="0" y="0"/>
                      <a:ext cx="6080760" cy="3466033"/>
                    </a:xfrm>
                    <a:prstGeom prst="rect"/>
                  </pic:spPr>
                </pic:pic>
              </a:graphicData>
            </a:graphic>
          </wp:inline>
        </w:drawing>
      </w:r>
    </w:p>
    <w:p>
      <w:pPr>
        <w:pStyle w:val="Caption"/>
      </w:pPr>
      <w:r>
        <w:t>Pointwise block-bootstrap intervals for absolute contrasts averaged over the same observed age distribution. Direct hybrid comparisons use paired percentile intervals in the accompanying table. Curves in original PAIC units are saved separately.</w:t>
      </w:r>
    </w:p>
    <w:p>
      <w:pPr>
        <w:pStyle w:val="Heading2"/>
      </w:pPr>
      <w:r>
        <w:t>Reproducible sources</w:t>
      </w:r>
    </w:p>
    <w:p>
      <w:r>
        <w:t>analysis/13_absolute_weather_paic.R; results/tables/absolute_weather_adjusted_differences.csv; absolute_weather_paired_differences.csv; absolute_weather_linear_age_sensitivity.csv; absolute_weather_coefficients.csv; absolute_weather_diagnostics.csv; results/models/absolute_weather_paic.rds. Figures: absolute_weather_curves and absolute_weather_differences, PNG and PDF.</w:t>
      </w:r>
    </w:p>
    <w:p>
      <w:r>
        <w:br w:type="page"/>
      </w:r>
    </w:p>
    <w:p>
      <w:pPr>
        <w:pStyle w:val="Heading1"/>
        <w:spacing w:before="0"/>
      </w:pPr>
      <w:r>
        <w:rPr>
          <w:color w:val="000000"/>
        </w:rPr>
        <w:t>Weather associations with annual carbon increment</w:t>
      </w:r>
    </w:p>
    <w:p>
      <w:pPr>
        <w:spacing w:after="60" w:line="240" w:lineRule="auto"/>
      </w:pPr>
      <w:r>
        <w:rPr>
          <w:color w:val="000000"/>
          <w:sz w:val="19"/>
        </w:rPr>
        <w:t>Paper analysis summary | 21 October 2026. Focus on absolute and percentage PAIC associations; retain standardised analyses as exploratory background only.</w:t>
      </w:r>
    </w:p>
    <w:p>
      <w:pPr>
        <w:pStyle w:val="Heading2"/>
        <w:spacing w:before="80" w:after="60"/>
      </w:pPr>
      <w:r>
        <w:rPr>
          <w:color w:val="000000"/>
        </w:rPr>
        <w:t>Weather variable selection</w:t>
      </w:r>
    </w:p>
    <w:p>
      <w:pPr>
        <w:spacing w:after="60" w:line="240" w:lineRule="auto"/>
      </w:pPr>
      <w:r>
        <w:rPr>
          <w:sz w:val="19"/>
        </w:rPr>
        <w:t>Nine candidates represented hypotheses about warmth, water supply, light and stress: spring and summer mean air temperature, rainfall totals and sunshine hours (six variables); spring air and ground frost-day counts (two); and the longest April-September dry spell (one). Spring was March-May and summer June-August; frost meant minimum air/grass temperature below 0 degrees C and dry days had rainfall below 1 mm. For screening, we removed a separate quadratic age trend from log PAIC for each hybrid, divided departures by each hybrid residual standard deviation, and averaged them equally. We examined Pearson and Spearman correlations on 24 years with complete coverage for all nine candidates, checking single-year influence and alternative detrending. Summer rainfall (Pearson r = 0.30) and temperature (r = 0.37) showed the clearest positive associations; sunshine, frost and dry-spell measures were weaker. Both summer predictors were retained without further screening. This hypothesis-guided selection used the same data as model fitting and remains exploratory. The final two-predictor model has 26 complete years because it needs fewer weather records.</w:t>
      </w:r>
    </w:p>
    <w:p>
      <w:pPr>
        <w:pStyle w:val="Heading2"/>
        <w:spacing w:before="80" w:after="60"/>
      </w:pPr>
      <w:r>
        <w:rPr>
          <w:color w:val="000000"/>
        </w:rPr>
        <w:t>Response and previous year weather</w:t>
      </w:r>
    </w:p>
    <w:p>
      <w:pPr>
        <w:spacing w:after="60" w:line="240" w:lineRule="auto"/>
      </w:pPr>
      <w:r>
        <w:rPr>
          <w:color w:val="000000"/>
          <w:sz w:val="19"/>
        </w:rPr>
        <w:t>The analysis uses positive tree-level median PAIC for each of four hybrids in 26 measurement years (104 summaries). PAIC is carbon increment divided by years between measurements, in Mg C ha-1 yr-1. Each measurement in year t is paired with June-August mean air temperature and total rainfall in year t minus 1. For example, 2002 PAIC uses summer 2001 weather. For multi-year intervals, annualisation accounts for duration but cannot reveal growth timing in the missing years; weather still describes only the final growth year.</w:t>
      </w:r>
    </w:p>
    <w:p>
      <w:pPr>
        <w:pStyle w:val="Heading2"/>
        <w:spacing w:before="80" w:after="60"/>
      </w:pPr>
      <w:r>
        <w:rPr>
          <w:color w:val="000000"/>
        </w:rPr>
        <w:t>Statistical approach and uncertainty</w:t>
      </w:r>
    </w:p>
    <w:p>
      <w:pPr>
        <w:spacing w:after="60" w:line="240" w:lineRule="auto"/>
      </w:pPr>
      <w:r>
        <w:rPr>
          <w:color w:val="000000"/>
          <w:sz w:val="19"/>
        </w:rPr>
        <w:t>Gamma models with a log link were fitted to original PAIC, allowing each hybrid its own baseline, curved age trajectory (age and age squared), and temperature and rainfall associations. Absolute differences average predictions over the same observed ages, holding the other weather variable at its mean. We compare 15.31 with 16.31 degrees C, and 122.4 with 222.4 mm rainfall. Percentage differences express the same comparisons relative to the lower-weather prediction.</w:t>
      </w:r>
    </w:p>
    <w:p>
      <w:pPr>
        <w:spacing w:after="60" w:line="240" w:lineRule="auto"/>
      </w:pPr>
      <w:r>
        <w:rPr>
          <w:color w:val="000000"/>
          <w:sz w:val="19"/>
        </w:rPr>
        <w:t>To assess uncertainty, we repeatedly resampled blocks of three neighbouring visits, keeping all hybrids together, and refitted the complete model 1,000 times. Some visits were repeated and others omitted. The middle 95% of estimates gives the reported intervals. This preserves some shared and temporal variation, but blocks span sampling gaps and wrap from the record end to its start. Rare samples produced extreme age-related estimates; intervals remain provisional.</w:t>
      </w:r>
    </w:p>
    <w:p>
      <w:pPr>
        <w:pStyle w:val="Heading2"/>
        <w:spacing w:before="80" w:after="60"/>
      </w:pPr>
      <w:r>
        <w:rPr>
          <w:color w:val="000000"/>
        </w:rPr>
        <w:t>Model results</w:t>
      </w:r>
    </w:p>
    <w:p>
      <w:pPr>
        <w:spacing w:after="60" w:line="240" w:lineRule="auto"/>
      </w:pPr>
      <w:r>
        <w:rPr>
          <w:color w:val="000000"/>
          <w:sz w:val="19"/>
        </w:rPr>
        <w:t>Adjusted differences below are in Mg C ha-1 yr-1, with percentage differences in brackets. They describe fitted associations within observed weather conditions, not causal warming or rainfall scenarios.</w:t>
      </w:r>
    </w:p>
    <w:tbl>
      <w:tblPr>
        <w:tblW w:type="auto" w:w="0"/>
        <w:tblLayout w:type="fixed"/>
        <w:tblLook w:firstColumn="1" w:firstRow="1" w:lastColumn="0" w:lastRow="0" w:noHBand="0" w:noVBand="1" w:val="04A0"/>
      </w:tblPr>
      <w:tblGrid>
        <w:gridCol w:w="1584"/>
        <w:gridCol w:w="3888"/>
        <w:gridCol w:w="3888"/>
      </w:tblGrid>
      <w:tr>
        <w:tc>
          <w:tcPr>
            <w:tcW w:type="dxa" w:w="1584"/>
            <w:tcBorders>
              <w:top w:val="single" w:sz="4" w:color="D9D9D9"/>
              <w:left w:val="single" w:sz="4" w:color="D9D9D9"/>
              <w:bottom w:val="single" w:sz="4" w:color="D9D9D9"/>
              <w:right w:val="single" w:sz="4" w:color="D9D9D9"/>
            </w:tcBorders>
            <w:shd w:fill="E8EDF0"/>
          </w:tcPr>
          <w:p>
            <w:pPr>
              <w:spacing w:after="60" w:before="60"/>
            </w:pPr>
            <w:r>
              <w:rPr>
                <w:b/>
                <w:sz w:val="18"/>
              </w:rPr>
              <w:t>Hybrid</w:t>
            </w:r>
          </w:p>
        </w:tc>
        <w:tc>
          <w:tcPr>
            <w:tcW w:type="dxa" w:w="3888"/>
            <w:tcBorders>
              <w:top w:val="single" w:sz="4" w:color="D9D9D9"/>
              <w:left w:val="single" w:sz="4" w:color="D9D9D9"/>
              <w:bottom w:val="single" w:sz="4" w:color="D9D9D9"/>
              <w:right w:val="single" w:sz="4" w:color="D9D9D9"/>
            </w:tcBorders>
            <w:shd w:fill="E8EDF0"/>
          </w:tcPr>
          <w:p>
            <w:pPr>
              <w:spacing w:after="60" w:before="60"/>
            </w:pPr>
            <w:r>
              <w:rPr>
                <w:b/>
                <w:sz w:val="18"/>
              </w:rPr>
              <w:t>Temperature difference of 1 degree C</w:t>
            </w:r>
          </w:p>
        </w:tc>
        <w:tc>
          <w:tcPr>
            <w:tcW w:type="dxa" w:w="3888"/>
            <w:tcBorders>
              <w:top w:val="single" w:sz="4" w:color="D9D9D9"/>
              <w:left w:val="single" w:sz="4" w:color="D9D9D9"/>
              <w:bottom w:val="single" w:sz="4" w:color="D9D9D9"/>
              <w:right w:val="single" w:sz="4" w:color="D9D9D9"/>
            </w:tcBorders>
            <w:shd w:fill="E8EDF0"/>
          </w:tcPr>
          <w:p>
            <w:pPr>
              <w:spacing w:after="60" w:before="60"/>
            </w:pPr>
            <w:r>
              <w:rPr>
                <w:b/>
                <w:sz w:val="18"/>
              </w:rPr>
              <w:t>Rainfall difference of 100 mm</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Beaupre</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+0.44 (+40.5%)</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+0.69 (+68.9%)</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Gibecq</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+0.39 (+47.6%)</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+0.66 (+91.9%)</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Robusta</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+0.53 (+53.6%)</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+0.56 (+57.5%)</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Trichobel</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+0.58 (+32.2%)</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+0.77 (+44.3%)</w:t>
            </w:r>
          </w:p>
        </w:tc>
      </w:tr>
    </w:tbl>
    <w:p>
      <w:pPr>
        <w:spacing w:after="60" w:line="240" w:lineRule="auto"/>
      </w:pPr>
      <w:r>
        <w:rPr>
          <w:sz w:val="19"/>
        </w:rPr>
        <w:t>Percentage difference = absolute difference divided by predicted PAIC at the lower weather value, times 100. For temperature, Trichobel rises from 1.80 to 2.39 (+0.58, 32%), whereas Beaupre rises from 1.10 to 1.54 (+0.44, 41%). Trichobel therefore has a larger carbon increment difference but a smaller proportional difference. All 12 direct hybrid-difference intervals include zero; Trichobel temperature association is uncertain (95% interval -0.09 to +1.22).</w:t>
      </w:r>
    </w:p>
    <w:p>
      <w:pPr>
        <w:pStyle w:val="Heading2"/>
        <w:spacing w:before="80" w:after="60"/>
      </w:pPr>
      <w:r>
        <w:rPr>
          <w:color w:val="000000"/>
        </w:rPr>
        <w:t>Discussion and limits</w:t>
      </w:r>
    </w:p>
    <w:p>
      <w:pPr>
        <w:spacing w:after="60" w:line="240" w:lineRule="auto"/>
      </w:pPr>
      <w:r>
        <w:rPr>
          <w:color w:val="000000"/>
          <w:sz w:val="19"/>
        </w:rPr>
        <w:t>The positive associations offer a possible contribution to the observed growth patterns and are compatible with the biological expectation that Trichobel copes well with changing conditions. Its larger absolute estimate partly reflects higher growth, rather than a larger proportional response. All trees belong to one planting cohort: age, calendar time, management history and changing weather cannot be cleanly separated. Residual temporal patterns and bootstrap instability also remain. Present this as a supporting, exploratory explanation of Trichobel performance, without attributing its study-period advantage to climate change or claiming superior heat tolerance.</w:t>
      </w:r>
    </w:p>
    <w:p>
      <w:pPr>
        <w:spacing w:after="60" w:line="240" w:lineRule="auto"/>
      </w:pPr>
      <w:r>
        <w:rPr>
          <w:sz w:val="19"/>
        </w:rPr>
        <w:t>Source: analysis/13_absolute_weather_paic.R; full results and intervals in preceding pages.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