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Carbon scenario analysis planning</w:t>
      </w:r>
    </w:p>
    <w:p>
      <w:pPr>
        <w:pStyle w:val="Subtitle"/>
      </w:pPr>
      <w:r>
        <w:t>Analysis notes for paper drafting   |   Updated 20 October 2026</w:t>
      </w:r>
    </w:p>
    <w:p>
      <w:r>
        <w:t>This note records the scenario component planned for the paper and the decisions needed before calculation. No new projections have been agreed or calculated. The intended deliverable is a transparent Excel workbook that colleagues can use without R.</w:t>
      </w:r>
    </w:p>
    <w:p>
      <w:pPr>
        <w:pStyle w:val="Heading1"/>
      </w:pPr>
      <w:r>
        <w:t>Purpose and available evidence</w:t>
      </w:r>
    </w:p>
    <w:p>
      <w:r>
        <w:t>Explore how measured tree carbon accumulation and soil-carbon information might inform explicit land-use or management scenarios. The annual stock, PAIC and MAIC summaries and complete-profile soil summaries are available as inputs. Historical scenario sheets remain as context; they are not inputs to the current preparation pipeline.</w:t>
      </w:r>
    </w:p>
    <w:p>
      <w:pPr>
        <w:pStyle w:val="Heading1"/>
      </w:pPr>
      <w:r>
        <w:t>Methods to agree before building</w:t>
      </w:r>
    </w:p>
    <w:p>
      <w:r>
        <w:t>First specify geography, eligible land categories, the area-data source and reference year. Define whether the hectare refers to the whole system or the tree component, and distinguish eligible land from adopted land. Specify adoption through time, projection horizon, hybrid composition, management and stand-age cohorts.</w:t>
      </w:r>
    </w:p>
    <w:p>
      <w:r>
        <w:t>Choose how PAIC, MAIC and stock observations support each calculation. PAIC is an interval growth rate, MAIC is cumulative stock divided by age, and stock is an accumulated amount. They cannot be interchanged as annual rates. A constant-rate extrapolation would need explicit justification and limits.</w:t>
      </w:r>
    </w:p>
    <w:p>
      <w:r>
        <w:t>Keep tree and soil contributions separate until their area and time conventions match. Any soil contribution requires a justified counterfactual and accumulation timescale. A cross-sectional stock difference must not automatically be divided by stand age and presented as a measured sequestration rate.</w:t>
      </w:r>
    </w:p>
    <w:p>
      <w:pPr>
        <w:pStyle w:val="Heading1"/>
      </w:pPr>
      <w:r>
        <w:t>Current results and discussion</w:t>
      </w:r>
    </w:p>
    <w:p>
      <w:r>
        <w:t>There are no new scenario results to report. Potential interpretation should be framed as conditional outcomes under stated assumptions, not a forecast of achieved removal. Avoid double counting stock and annual increments, tree-row and alley areas, or annual and cumulative totals.</w:t>
      </w:r>
    </w:p>
    <w:p>
      <w:pPr>
        <w:pStyle w:val="Heading1"/>
      </w:pPr>
      <w:r>
        <w:t>Workbook requirements</w:t>
      </w:r>
    </w:p>
    <w:p>
      <w:r>
        <w:t>Use clearly identified editable inputs, units beside each input, transparent formulas, source references and separate annual and cumulative outputs. If converting carbon to carbon dioxide, state the molecular-weight conversion explicitly. Include uncertainty or sensitivity analysis for the assumptions that materially affect conclusions.</w:t>
      </w:r>
    </w:p>
    <w:p>
      <w:r>
        <w:t>Agree scenario labels, baseline or counterfactual, eligible-area fractions, adoption schedules, hybrid-specific growth trajectories, soil treatment, and the handling of harvesting, mortality and other carbon pools before producing paper figures. Avoid adding unsupported precision to uncertain inputs.</w:t>
      </w:r>
    </w:p>
    <w:p>
      <w:pPr>
        <w:pStyle w:val="Heading1"/>
      </w:pPr>
      <w:r>
        <w:t>Files supporting this note</w:t>
      </w:r>
    </w:p>
    <w:p>
      <w:pPr>
        <w:spacing w:after="60"/>
      </w:pPr>
      <w:r>
        <w:rPr>
          <w:sz w:val="18"/>
        </w:rPr>
        <w:t>scenarios/README.md</w:t>
      </w:r>
    </w:p>
    <w:p>
      <w:pPr>
        <w:spacing w:after="60"/>
      </w:pPr>
      <w:r>
        <w:rPr>
          <w:sz w:val="18"/>
        </w:rPr>
        <w:t>data/processed/annual_hybrid.csv</w:t>
      </w:r>
    </w:p>
    <w:p>
      <w:pPr>
        <w:spacing w:after="60"/>
      </w:pPr>
      <w:r>
        <w:rPr>
          <w:sz w:val="18"/>
        </w:rPr>
        <w:t>data/processed/annual_hybrid_treatment.csv</w:t>
      </w:r>
    </w:p>
    <w:p>
      <w:pPr>
        <w:spacing w:after="60"/>
      </w:pPr>
      <w:r>
        <w:rPr>
          <w:sz w:val="18"/>
        </w:rPr>
        <w:t>data/processed/soil_stock_summary.csv</w:t>
      </w:r>
    </w:p>
    <w:p>
      <w:pPr>
        <w:spacing w:after="60"/>
      </w:pPr>
      <w:r>
        <w:rPr>
          <w:sz w:val="18"/>
        </w:rPr>
        <w:t>data/raw/soil_and_legacy_scenarios.xlsx</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scenario analysis planning</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