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sequestration following arable conversion</w:t>
      </w:r>
    </w:p>
    <w:p>
      <w:pPr>
        <w:pStyle w:val="Subtitle"/>
      </w:pPr>
      <w:r>
        <w:t>Analysis notes for paper drafting   |   Updated 22 October 2026</w:t>
      </w:r>
    </w:p>
    <w:p>
      <w:r>
        <w:t>This separate note develops annualised SOC stock contrasts for selected alley samples relative to the neighbouring arable reference. The 2024 observations support a comparison of former Continuous fallow and Continuous cropping histories, conditional on conversion dates and management continuity. They do not directly measure SOC change through repeated sampling.</w:t>
      </w:r>
    </w:p>
    <w:p>
      <w:pPr>
        <w:pStyle w:val="Heading1"/>
      </w:pPr>
      <w:r>
        <w:t>Site history and working chronology</w:t>
      </w:r>
    </w:p>
    <w:p>
      <w:r>
        <w:t>The user reports that the two sampled fields formed one arable field before 1994. One half became a silvoarable experiment with Alternate cropping (A), Continuous fallow (F) and Continuous cropping (C). The user reports that the experiment ended in 2004. Soil sampling took place in 2024, and the other field remained the arable reference. The shared former field makes the reference useful, but does not establish identical starting SOC or unchanged arable SOC through time.</w:t>
      </w:r>
    </w:p>
    <w:p>
      <w:r>
        <w:t>The proposed conversion dates are 1994 for the Continuous fallow alleys and 2004 for the Continuous cropping alleys. These give nominal elapsed periods of 30 and 20 years to 2024. They are working dates for this analysis, pending confirmation that fallow was vegetated grassland rather than bare fallow and that the stated non-arable management continued. Earlier source material describes trees planted in 1992 and cropping treatments in 1992-1998; the relationship between those dates, the proposed 1994 conversion and the 2004 trial end must be reconciled. Planting, treatment establishment and cessation of cropping may be different events.</w:t>
      </w:r>
    </w:p>
    <w:p>
      <w:pPr>
        <w:pStyle w:val="Heading1"/>
      </w:pPr>
      <w:r>
        <w:t>Methods and selected data</w:t>
      </w:r>
    </w:p>
    <w:p>
      <w:r>
        <w:t>Use outputs/soil_provenance_20261022/study_site_soil_2024.xlsx, sheet soil_0_30, or its identical CSV companion data/raw/study_site_soil_2024.csv. Measurements come from the full-precision AgricARBON results. The source retains permanent core/sample IDs, corrected location membership, former treatment, block and row. Do not use the scenario workbook as the measurement source.</w:t>
      </w:r>
    </w:p>
    <w:tbl>
      <w:tblPr>
        <w:tblW w:type="auto" w:w="0"/>
        <w:jc w:val="center"/>
        <w:tblLayout w:type="fixed"/>
        <w:tblLook w:firstColumn="1" w:firstRow="1" w:lastColumn="0" w:lastRow="0" w:noHBand="0" w:noVBand="1" w:val="04A0"/>
      </w:tblPr>
      <w:tblGrid>
        <w:gridCol w:w="2520"/>
        <w:gridCol w:w="4320"/>
        <w:gridCol w:w="648"/>
        <w:gridCol w:w="648"/>
      </w:tblGrid>
      <w:tr>
        <w:trPr>
          <w:cantSplit/>
          <w:tblHeader/>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Subset</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Selection</w:t>
            </w:r>
          </w:p>
        </w:tc>
        <w:tc>
          <w:tcPr>
            <w:tcW w:type="dxa" w:w="6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Cores</w:t>
            </w:r>
          </w:p>
        </w:tc>
        <w:tc>
          <w:tcPr>
            <w:tcW w:type="dxa" w:w="6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Layers</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Continuous fallow alley</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2_alley and F; row 6 / Block 1</w:t>
            </w:r>
          </w:p>
        </w:tc>
        <w:tc>
          <w:tcPr>
            <w:tcW w:type="dxa" w:w="6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w:t>
            </w:r>
          </w:p>
        </w:tc>
        <w:tc>
          <w:tcPr>
            <w:tcW w:type="dxa" w:w="6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Continuous cropping alley</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2_alley and C; row 10 / Block 2</w:t>
            </w:r>
          </w:p>
        </w:tc>
        <w:tc>
          <w:tcPr>
            <w:tcW w:type="dxa" w:w="6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w:t>
            </w:r>
          </w:p>
        </w:tc>
        <w:tc>
          <w:tcPr>
            <w:tcW w:type="dxa" w:w="6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16</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3_arable; company Field 1</w:t>
            </w:r>
          </w:p>
        </w:tc>
        <w:tc>
          <w:tcPr>
            <w:tcW w:type="dxa" w:w="6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48</w:t>
            </w:r>
          </w:p>
        </w:tc>
        <w:tc>
          <w:tcPr>
            <w:tcW w:type="dxa" w:w="6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95</w:t>
            </w:r>
          </w:p>
        </w:tc>
      </w:tr>
    </w:tbl>
    <w:p>
      <w:pPr>
        <w:spacing w:after="0"/>
      </w:pPr>
    </w:p>
    <w:p>
      <w:r>
        <w:t>Both selected alley subsets have two layers per core. The reference has 47 complete profiles and one upper-only profile. Exclude Tree row samples and Alternate cropping alleys from this initial calculation. Retain Alternate cropping for a later analysis once its conversion chronology is defined. No additional measurements are created or missing layers imputed.</w:t>
      </w:r>
    </w:p>
    <w:p>
      <w:r>
        <w:t>Derive profile stocks before averaging cores. Compare common equivalent soil masses using the corrected arable membership; retain fixed-depth 0-30 cm contrasts as a sensitivity analysis. Recalculate the reference masses and profile estimates from the new input before estimating annualised contrasts. Document every extrapolation below measured depth. ESM does not resolve initial SOC differences or management confounding.</w:t>
      </w:r>
    </w:p>
    <w:p>
      <w:r>
        <w:br w:type="page"/>
      </w:r>
    </w:p>
    <w:p>
      <w:pPr>
        <w:pStyle w:val="Heading1"/>
      </w:pPr>
      <w:r>
        <w:t>Proposed annualised stock contrasts</w:t>
      </w:r>
    </w:p>
    <w:p>
      <w:r>
        <w:t>Let S_F and S_C be mean 2024 alley SOC stocks for the former Continuous fallow and Continuous cropping subsets, and S_R the 2024 mean arable reference stock, all on the same depth or equivalent-mass basis in Mg C per hectare. The proposed estimates are:</w:t>
      </w:r>
    </w:p>
    <w:p>
      <w:r>
        <w:t>r_F = (S_F - S_R) / (2024 - 1994) = (S_F - S_R) / 30</w:t>
      </w:r>
    </w:p>
    <w:p>
      <w:r>
        <w:t>r_C = (S_C - S_R) / (2024 - 2004) = (S_C - S_R) / 20</w:t>
      </w:r>
    </w:p>
    <w:p>
      <w:r>
        <w:t>Units are Mg C per hectare of sampled alley per year. Subtract the arable reference before dividing by elapsed time: total SOC includes inherited carbon. Retain negative contrasts if present. These are retrospective annualised excess-stock estimates under an assumed reference trajectory, not the instantaneous sequestration rate in 2024. Calendar-year differences are approximate exposure periods until conversion timing is established.</w:t>
      </w:r>
    </w:p>
    <w:p>
      <w:pPr>
        <w:pStyle w:val="Heading1"/>
      </w:pPr>
      <w:r>
        <w:t>Calculated results</w:t>
      </w:r>
    </w:p>
    <w:p>
      <w:r>
        <w:t>The available subset sizes above and nominal 30-year and 20-year durations are established for planning. No new SOC stocks, annualised rates, statistical tests or scenario projections have been calculated. Existing SOC-stock outputs retain older inputs and must not supply the new numerators without recalculation.</w:t>
      </w:r>
    </w:p>
    <w:p>
      <w:pPr>
        <w:pStyle w:val="Heading1"/>
      </w:pPr>
      <w:r>
        <w:t>Discussion hypotheses and inferential limits</w:t>
      </w:r>
    </w:p>
    <w:p>
      <w:r>
        <w:t>The arable reference is a space-for-time counterfactual, not an observed 1994 or 2004 baseline. For a contrast to represent additional accumulation, starting SOC differences must be negligible and the reference must plausibly represent what would have happened without conversion. A change in the reference field can make avoided SOC loss part of the contrast; it is not necessarily all new carbon accumulated in the alleys.</w:t>
      </w:r>
    </w:p>
    <w:p>
      <w:r>
        <w:t>The Continuous cropping alleys were already beside trees before 2004. Their 2024 excess over the arable field may therefore include pre-2004 tree effects. Dividing that whole excess by 20 years cannot isolate post-2004 conversion to grassland without a justified 2004 stock baseline. Both alley subsets remain influenced by trees, so the interpretation is conversion within this silvoarable system rather than a general open-field arable-to-grassland effect.</w:t>
      </w:r>
    </w:p>
    <w:p>
      <w:r>
        <w:t>Each former treatment occurs in one sampled block and row band. Eight cores describe within-band variation, not eight independent replicated conversions. The two annualised contrasts cannot identify a temporal response curve or prove that one conversion age has a higher sequestration rate. SOC accumulation need not be linear or continue indefinitely; do not extend these historical averages unchanged into future scenarios. Area upscaling requires alley fractions, and combined tree/soil accounting must avoid double counting.</w:t>
      </w:r>
    </w:p>
    <w:p>
      <w:pPr>
        <w:pStyle w:val="Heading1"/>
      </w:pPr>
      <w:r>
        <w:t>Open decisions</w:t>
      </w:r>
    </w:p>
    <w:p>
      <w:r>
        <w:t>Confirm the onset and continuity of vegetated fallow/grassland for the F alleys, the cessation of cropping and onset of grassland for the C alleys, and management since then (tillage, mowing, grazing and organic inputs). Reconcile 1992, 1994, 1998 and 2004 in the site chronology. Check for baseline soil measurements, especially around 2004; confirm arable management comparability. Then specify the ESM extrapolation policy and scenario trajectory before presenting rates as sequestration assumptions.</w:t>
      </w:r>
    </w:p>
    <w:p>
      <w:pPr>
        <w:pStyle w:val="Heading1"/>
      </w:pPr>
      <w:r>
        <w:t>Methodological reference</w:t>
      </w:r>
    </w:p>
    <w:p>
      <w:r>
        <w:t>IPCC 2019 Refinement, Volume 4, Chapter 5, mineral-soil stock-change methods: https://www.ipcc-tfi.iges.or.jp/public/2019rf/pdf/4_Volume4/19R_V4_Ch05_Cropland.pdf. Dividing a stock change by a period requires an explicit initial or counterfactual stock and time assumption; IPCC default transition periods do not validate a site-specific time trajectory.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sequestration following arable conversion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