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weather_hypothesis_comparison.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Comparison of eight hypothesis models on the same 24 measurement years for each hybrid. All models use a Gamma log link and include linear and squared age; weather terms are specified by the row labels. Values are AICc minus the lowest AICc within each hybrid, so zero marks the top candidate and lower values indicate more support after penalising complexity. The dark summer-conditions row ranks first in all four hybrids. Rankings are exploratory because temporal dependence remains and hypotheses were informed by earlier examination of the data.</w:t>
      </w:r>
    </w:p>
    <w:p>
      <w:r>
        <w:t>We compared the same eight models separately for each hybrid: quadratic age alone; spring rainfall and temperature; summer rainfall and temperature; spring sunshine; summer sunshine; longest April–September dry spell; spring air frost; and spring ground frost. Every weather model retains quadratic age. Correlations are descriptive background, not a filter determining which hypotheses enter this comparison.</w:t>
      </w:r>
    </w:p>
    <w:p>
      <w:r>
        <w:t>Summer conditions ranked first for every hybrid. The second-ranked candidate was age alone, with AICc differences of 5.98 for Beaupre, 2.30 for Gibecq, 5.85 for Robusta and 2.13 for Trichobel. Support is therefore clearer for Beaupre and Robusta. The other weather hypotheses have AICc differences of at least 4.67. This compares the stated candidate set; it does not demonstrate the absence of other environmental influences.</w:t>
      </w:r>
    </w:p>
    <w:p>
      <w:pPr>
        <w:pStyle w:val="Heading1"/>
      </w:pPr>
      <w:r>
        <w:t>How the hypotheses were compared</w:t>
      </w:r>
    </w:p>
    <w:p>
      <w:r>
        <w:t>AICc balances fitted likelihood against the number of estimated parameters, including Gamma dispersion. All models use identical responses and years. Measurement years 2001 and 2019 are excluded from this comparison because of incomplete spring temperature or ground-frost records. This avoids giving different hypotheses different weather-year samples. The summer model is subsequently fitted on all 26 eligible summer years for the association plot; comparisons in Figure 1 always use 24 years.</w:t>
      </w:r>
    </w:p>
    <w:p>
      <w:r>
        <w:t>We also omitted each of the 24 years in turn, refitted all candidates and checked the ranking. Summer conditions remained first in 24/24 fits for Beaupre and Robusta, 23/24 for Gibecq and 22/24 for Trichobel. These are influence checks, not independent validation. Hypotheses were informed by earlier exploration of this dataset, so the analysis remains exploratory and the association intervals are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Its existing 26-year fit is retained after verifying that its PAIC and common-year summer weather inputs match the current data. The 26-year coefficient intervals describe that fitted model and do not include model-selection uncertainty; they are not model-averaged estimates.</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hypothesis comparison supports summer conditions over the alternative weather hypotheses considered here. Support relative to age alone is clearer for Beaupre and Robusta; Gibecq and Trichobel have more model uncertainty. In the reporting summer models, wetter summers are associated with greater PAIC in all hybrids, compatible with a role for summer water availability. The combined model ranking does not establish that each of rainfall and temperature is individually necessary in every hybrid.</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The hypothesis comparison has 24 shared weather occasions, while the final summer fit has 26. These samples are distinct: AICc is compared only within the common 24-year set. Reusing these observations for selection and estimation makes the results exploratory rather than an independent confirmation.</w:t>
      </w:r>
    </w:p>
    <w:p>
      <w:r>
        <w:t>In the 24-year summer models, correlations of deviance residuals between consecutive calendar years are approximately 0.50, 0.63, 0.38 and 0.02 for Beaupre, Gibecq, Robusta and Trichobel. Temporal dependence is therefore not resolved by the selected mean model. AICc assumes independent errors and its rankings should be treated as approximate; an independent-error AICc win is not a complete model validation. The three-visit bootstrap accommodates some dependence but its block length is not established as sufficient.</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shows the fitted quadratic age shapes at fixed weather.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p>
      <w:pPr>
        <w:pStyle w:val="Caption"/>
      </w:pPr>
      <w:r>
        <w:t>Reproducibility: analysis/17_weather_hypothesis_models.R and weather_hypothesis_ tables/model RDS document the 24-year selection comparison and year-omission checks. Analysis 14 and final_weather_ outputs supply the verified 26-year reporting summer associations and age curves. Correlation tables remain descriptive background. Figures use plot_style.R with 600 dpi PNG and vector PDF exports; earlier Word versions and the retired correlation figure are archived.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