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further daily weather imputation is introduced in these analyses; completeness is assessed on the prepared series.</w:t>
      </w:r>
    </w:p>
    <w:p>
      <w:pPr>
        <w:pStyle w:val="Heading1"/>
        <w:pageBreakBefore/>
      </w:pPr>
      <w:r>
        <w:t>Timing of PAIC and weather windows</w:t>
      </w:r>
    </w:p>
    <w:p>
      <w:r>
        <w:t>The year labels identify measurements, while the weather must describe the growth that those measurements capture. Let t be the recorded measurement year and s the previous observed measurement year. Under the adopted dormant-season measurement convention, the most recent completed growth year is g = t − 1. This is an alignment of growth and weather, not evidence of a delayed one-year physiological response to weather.</w:t>
      </w:r>
    </w:p>
    <w:p>
      <w:r>
        <w:t>PAIC recorded at t represents the annualised carbon-stock increment over the interval from s to t: PAICₜ = (Cₜ − Cₛ)/(t − s). For consecutive annual visits, s = t − 1. After a measurement gap, s is the last year actually observed. The weather models use supplied annualised tree-level PAIC values, summarised by hybrid medians; separately recalculated stock differences are preparation audits rather than replacements of the supplied response.</w:t>
      </w:r>
    </w:p>
    <w:p>
      <w:r>
        <w:t>The original online discussion used a March 2002 visit as the example: the increment since the preceding annual visit mainly represents the 2001 growing season. Relevant summer weather is therefore June–August 2001. The winter preceding that growing season is December 2000–February 2001. December 2001–February 2002 is the winter after that growth season, immediately before the March 2002 visit; it is not the “previous winter” window defined in these scripts.</w:t>
      </w:r>
    </w:p>
    <w:tbl>
      <w:tblPr>
        <w:tblW w:type="auto" w:w="0"/>
        <w:tblLayout w:type="fixed"/>
        <w:tblLook w:firstColumn="1" w:firstRow="1" w:lastColumn="0" w:lastRow="0" w:noHBand="0" w:noVBand="1" w:val="04A0"/>
      </w:tblPr>
      <w:tblGrid>
        <w:gridCol w:w="1944"/>
        <w:gridCol w:w="3816"/>
        <w:gridCol w:w="3744"/>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Weather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Dates relative to measurement year t</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Example for t = 2002</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Spring</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Autumn</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Previous winter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of t − 2 to the last day of February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2000–28 February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Winter half-year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of t − 2 to 31 March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2000–31 March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 half-year and dry-spell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2001</w:t>
            </w:r>
          </w:p>
        </w:tc>
      </w:tr>
    </w:tbl>
    <w:p>
      <w:pPr>
        <w:pStyle w:val="Caption"/>
        <w:spacing w:before="120"/>
      </w:pPr>
      <w:r>
        <w:t>All boundaries are inclusive. Winter length follows the actual calendar, including 29 February in leap growth years. A calendar-year winter made from January, February and December of the same year would mix winters on either side of the growth season; the code instead constructs continuous date ranges from daily records.</w:t>
      </w:r>
    </w:p>
    <w:p>
      <w:r>
        <w:t>The current eight hypotheses use spring rainfall, temperature, sunshine and frost; summer rainfall, temperature and sunshine; and the April–September dry spell. Autumn, previous winter and winter-half-year variables are prepared for context but are not tested in the current eight-model comparison. April–September defines the dry-spell search interval; it does not replace June–August as the summer window. A combined previous-winter-plus-summer model and a calendar-year annual model are not part of the present analysis.</w:t>
      </w:r>
    </w:p>
    <w:p>
      <w:pPr>
        <w:pStyle w:val="Heading1"/>
        <w:pageBreakBefore/>
      </w:pPr>
      <w:r>
        <w:t>Daily aggregation and Methods wording</w:t>
      </w:r>
    </w:p>
    <w:p>
      <w:r>
        <w:t>Rainfall (mm) and sunshine (hours) are daily sums within each window. Temperature is the mean of daily mean-air-temperature values, not an unweighted average of monthly means; summer has 92 days. Spring frost counts use daily minimum air or grass temperature below 0 °C. The dry spell is the longest run of days with rainfall &lt;1 mm within April–September.</w:t>
      </w:r>
    </w:p>
    <w:p>
      <w:r>
        <w:t>Every expected date and required daily value must be available. Completeness is checked on the prepared daily series; these analyses introduce no further gap-filling. The eight hypotheses use 24 identical complete-weather years. The reporting summer model uses all 26 years with complete June–August rainfall and temperature.</w:t>
      </w:r>
    </w:p>
    <w:p>
      <w:r>
        <w:t>Measurement gaps do not change the offset. PAIC measured in 2001 averages the stock change since 1998 over three years, representing growth years 1998–2000. Weather still describes 2000, including June–August 2000 for summer; it is not averaged across the three growth years. Annualisation cannot recover growth within missing years. The final 2023 observation similarly uses summer 2022, not summer 2023.</w:t>
      </w:r>
    </w:p>
    <w:p>
      <w:pPr>
        <w:pStyle w:val="Heading2"/>
      </w:pPr>
      <w:r>
        <w:t>Suggested Methods paragraph</w:t>
      </w:r>
    </w:p>
    <w:p>
      <w:r>
        <w:t>Periodic annual carbon increment (PAIC) was assigned to the year of the later DBH measurement and annualised over the number of years since the preceding available measurement. Weather predictors were aligned with the preceding growth year (g = t − 1, where t denotes measurement year), consistent with dormant-season measurements recording growth completed in the preceding growing season. Spring predictors were summarised from 1 March to 31 May and summer predictors from 1 June to 31 August of g. Seasonal rainfall and sunshine were summed from daily records, and air temperature was averaged over daily mean values. Spring frost counts used daily minimum air or grass temperature below 0 °C; longest dry spell was calculated over 1 April–30 September of g using a daily rainfall threshold of &lt;1 mm. Only complete daily windows were used. For multi-year measurement intervals, PAIC remained annualised over the full interval but was paired with weather from the final growth year, because the timing of growth within unmeasured years was unknown.</w:t>
      </w:r>
    </w:p>
    <w:p>
      <w:pPr>
        <w:pStyle w:val="Heading2"/>
      </w:pPr>
      <w:r>
        <w:t>Timing qualification and source trail</w:t>
      </w:r>
    </w:p>
    <w:p>
      <w:r>
        <w:t>The earlier co-author comment identifies March measurements and assumes earlier observers followed that practice; the thesis describes November–March. The tree table contains year labels, not individual visit dates. The code applies t − 1 consistently rather than correcting individual November or March visits. Describe this adopted convention without claiming that every historical visit date was individually verified.</w:t>
      </w:r>
    </w:p>
    <w:p>
      <w:pPr>
        <w:pStyle w:val="Caption"/>
      </w:pPr>
      <w:r>
        <w:t>Verified sources: scripts/config.R; scripts/prep/01_tree_growth.R and 02_weather.R; analysis/10_weather_departure_screen.R, 14_raw_paic_weather_final.R and 17_weather_hypothesis_models.R. The 2002 windows and daily summer aggregation were checked directly; dates are recorded in results/checks/weather_timing_methods_audit.csv. The earlier discussion and co-author example are in “Jyoti Code Walkthrough Thesis Analysis” (https://chatgpt.com/c/6a1ebf0c-89a8-8391-abab-ad1e97d666a1).</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Eight hypothesis models fitted on the same 24 years for each hybrid, with a Gamma log link and linear and squared age. Weather terms are named in the rows. Values are AICc minus the lowest AICc within each hybrid: zero marks the top candidate; lower values indicate more support after penalising complexity. Rankings are exploratory under remaining temporal dependence and prior examination of these data.</w:t>
      </w:r>
    </w:p>
    <w:p>
      <w:r>
        <w:t>We compared the same eight models separately for each hybrid, as defined by the rows in Figure 1. Spring and summer conditions combine rainfall and temperature; other weather models add one sunshine, dry-spell or frost predictor. Every model retains quadratic age. All nine weather candidates enter this comparison; correlations do not filter their inclusion.</w:t>
      </w:r>
    </w:p>
    <w:p>
      <w:r>
        <w:t>Summer conditions ranked first for every hybrid. Age alone ranked second, with AICc differences of 5.98 for Beaupre, 2.30 for Gibecq, 5.85 for Robusta and 2.13 for Trichobel. Support is clearer for Beaupre and Robusta. The other weather hypotheses have differences of at least 4.67; this does not exclude environmental influences absent from the candidate set.</w:t>
      </w:r>
    </w:p>
    <w:p>
      <w:pPr>
        <w:pStyle w:val="Heading1"/>
      </w:pPr>
      <w:r>
        <w:t>How the hypotheses were compared</w:t>
      </w:r>
    </w:p>
    <w:p>
      <w:r>
        <w:t>AICc balances likelihood against the number of parameters, including Gamma dispersion. Every model uses identical responses and years. Measurement years 2001 and 2019 are excluded because of incomplete spring temperature or ground-frost records. The selected summer model then uses all 26 eligible summer years for the association plot; Figure 1 always compares 24 years.</w:t>
      </w:r>
    </w:p>
    <w:p>
      <w:r>
        <w:t>We also omitted each of the 24 years in turn and refitted all candidates. Summer remained first in 24/24 fits for Beaupre and Robusta, 23/24 for Gibecq and 22/24 for Trichobel. These are influence checks, not independent validation. Earlier data exploration informed the hypotheses; association intervals remain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Its existing 26-year fit is retained after verifying that its PAIC and common-year summer weather inputs match the current data. The 26-year coefficient intervals describe that fitted model and do not include model-selection uncertainty; they are not model-averaged estimates.</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ageBreakBefore/>
      </w:pPr>
      <w:r>
        <w:t>Bootstrap uncertainty</w:t>
      </w:r>
    </w:p>
    <w:p>
      <w:pPr>
        <w:pStyle w:val="Heading2"/>
      </w:pPr>
      <w:r>
        <w:t>A simple explanation</w:t>
      </w:r>
    </w:p>
    <w:p>
      <w:r>
        <w:t>Bootstrapping asks how much the estimated weather association changes when the observed record is given different emphasis. We repeatedly draw observations from that record, allowing some to appear more than once and others to be left out, then fit the model again. We do not invent new growth measurements or new weather values.</w:t>
      </w:r>
    </w:p>
    <w:p>
      <w:r>
        <w:t>Here, we sample short blocks of three successive measurement occasions, rather than isolated years, because nearby observations may be related. Each selected occasion carries its PAIC, age and assigned weather together, and the same occasions are selected for all four hybrids. This retains their shared weather history and some temporal dependence. A block contains three observed visits, which can span more than three calendar years when measurements are missing. Blocks can wrap from the end of the record to the beginning; this is the circular part of the procedure.</w:t>
      </w:r>
    </w:p>
    <w:p>
      <w:r>
        <w:t>We repeat this 1,000 times. Each time, we refit all four hybrid models, including their quadratic age terms, and recalculate the absolute PAIC differences for 1 °C higher summer temperature and 100 mm more summer rainfall. The other weather variable is held at its study mean, and differences are averaged over the same 26 observed ages. The central 95% of the 1,000 estimates forms each whisker. A wide whisker means the average association is less precisely estimated; it does not show how the biological response changes from year to year.</w:t>
      </w:r>
    </w:p>
    <w:p>
      <w:pPr>
        <w:pStyle w:val="Heading1"/>
      </w:pPr>
      <w:r>
        <w:t>Suggested wording for the paper</w:t>
      </w:r>
    </w:p>
    <w:p>
      <w:r>
        <w:t>Uncertainty in absolute weather associations was estimated using 1,000 paired circular block-bootstrap resamples. Blocks of three successive measurement occasions were sampled with replacement, retaining PAIC, age and assigned weather together and using the same sampled occasions for all four hybrids. Blocks contained observed visits rather than necessarily consecutive calendar years. For each resample, the hybrid-specific models, including quadratic age, were refitted and absolute mean PAIC contrasts for a 1 °C increase in summer temperature and a 100 mm increase in summer rainfall were recalculated. Contrasts were averaged over the same 26 observed ages, holding the other weather predictor at its study mean. The 2.5th and 97.5th percentiles of the resampled estimates provided pointwise 95% uncertainty intervals. Differences between hybrids were calculated within each resample.</w:t>
      </w:r>
    </w:p>
    <w:p>
      <w:pPr>
        <w:pStyle w:val="Heading1"/>
      </w:pPr>
      <w:r>
        <w:t>Interpretation and limits</w:t>
      </w:r>
    </w:p>
    <w:p>
      <w:r>
        <w:t>Pairing allows direct comparisons between hybrids under the same resampled weather record. The blocks preserve some dependence, but three visits are not established as sufficient to capture all temporal dependence. These exploratory intervals are conditional on the selected summer model and do not include model-selection, allometric or weather measurement uncertainty. They are pointwise intervals, without adjustment for multiple comparisons. Extreme resampled estimates were retained; their diagnostic caveat is described in the Discussion.</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hypothesis comparison supports summer conditions over the other weather hypotheses considered. Support relative to age alone is clearer for Beaupre and Robusta. The reporting models associate wetter summers with greater PAIC, compatible with a role for water availability. The grouped summer-model ranking does not establish that both weather variables are individually necessary in every hybrid.</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AICc comparison uses 24 shared weather occasions, while final summer estimation uses 26. Reusing observations for selection and estimation makes the results exploratory rather than independent confirmation.</w:t>
      </w:r>
    </w:p>
    <w:p>
      <w:r>
        <w:t>In the 24-year summer models, consecutive-calendar-year residual correlations are approximately 0.50, 0.63, 0.38 and 0.02 for Beaupre, Gibecq, Robusta and Trichobel. AICc assumes independent errors, so these rankings remain approximate. The three-visit bootstrap accommodates some dependence, but its block length is not established as sufficient. AICc ranking alone does not validate the model.</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explains the fitted background age patterns at fixed weather; it is optional supporting material rather than a required main-paper result.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curves show the smooth background PAIC pattern after accounting for summer weather. They are drawn by varying age across its observed range while holding rainfall and temperature at their averages, so individual wet, dry, warm or cool years do not make the curves fluctuate.</w:t>
      </w:r>
    </w:p>
    <w:p>
      <w:r>
        <w:t>Beaupre shows a gradual decline. Gibecq is fairly flat initially, then declines. Robusta rises to a broad peak before declining. Trichobel rises more strongly to a later peak, then declines. These are fitted background patterns during this study.</w:t>
      </w:r>
    </w:p>
    <w:p>
      <w:r>
        <w:t>PAIC is annual carbon addition: declining PAIC means less carbon added each year, not necessarily carbon loss. Age also tracks calendar time, competition and management; the curves do not isolate biological ageing. This plot is optional working material for interpreting the model.</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