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Weather associations with observed PAIC</w:t>
      </w:r>
    </w:p>
    <w:p>
      <w:pPr>
        <w:pStyle w:val="Subtitle"/>
      </w:pPr>
      <w:r>
        <w:t>Current analysis for paper drafting   |   23 October 2026</w:t>
      </w:r>
    </w:p>
    <w:p>
      <w:r>
        <w:t>Eight biological hypotheses were compared directly, without excluding weather variables by correlation strength. Summer rainfall and temperature ranked first for all four hybrids, with clearer support in Beaupre and Robusta. The age-only alternative remained more competitive for Gibecq and Trichobel. Summer weather associations remain exploratory and cannot independently explain the causal basis of hybrid performance.</w:t>
      </w:r>
    </w:p>
    <w:p>
      <w:pPr>
        <w:pStyle w:val="Heading1"/>
      </w:pPr>
      <w:r>
        <w:t>Methods and data alignment</w:t>
      </w:r>
    </w:p>
    <w:p>
      <w:r>
        <w:t>The response is original PAIC, in Mg C ha⁻¹ yr⁻¹: the median of the available tree values within each hybrid and measurement year. Beaupre, Gibecq, Robusta and Trichobel are analysed separately. These summaries pool the sampled cropping treatments; the weather analysis does not estimate treatment effects. PAIC is neither standardised nor detrended before screening or modelling.</w:t>
      </w:r>
    </w:p>
    <w:p>
      <w:r>
        <w:t>The hypothesis comparison uses 24 common complete-weather measurement years from 1994 to 2023 (96 hybrid summaries). Summer associations are then estimated using all 26 years with complete summer weather (104 summaries). Weather in year t − 1 is paired with PAIC measured in year t. Hybrids share weather occasions; four summaries per year do not constitute four independent weather replicates.</w:t>
      </w:r>
    </w:p>
    <w:p>
      <w:r>
        <w:t>PAIC is divided by the years between successive measurements. This accounts for interval duration, but we do not know how growth was distributed among missing years. A multi-year PAIC value is still paired with the final growth year’s weather, following the agreed convention. For example, the 2001 PAIC averages growth years 1998–2000 and is paired with weather in 2000. This limits attribution of individual fluctuations to a particular year’s weather.</w:t>
      </w:r>
    </w:p>
    <w:p>
      <w:pPr>
        <w:pStyle w:val="Heading1"/>
      </w:pPr>
      <w:r>
        <w:t>Weather variables and biological hypotheses</w:t>
      </w:r>
    </w:p>
    <w:tbl>
      <w:tblPr>
        <w:tblW w:type="auto" w:w="0"/>
        <w:jc w:val="center"/>
        <w:tblLayout w:type="fixed"/>
        <w:tblLook w:firstColumn="1" w:firstRow="1" w:lastColumn="0" w:lastRow="0" w:noHBand="0" w:noVBand="1" w:val="04A0"/>
      </w:tblPr>
      <w:tblGrid>
        <w:gridCol w:w="1512"/>
        <w:gridCol w:w="4320"/>
        <w:gridCol w:w="3672"/>
      </w:tblGrid>
      <w:tr>
        <w:trPr>
          <w:cantSplit/>
          <w:tblHeader/>
        </w:trPr>
        <w:tc>
          <w:tcPr>
            <w:tcW w:type="dxa" w:w="1512"/>
            <w:vAlign w:val="center"/>
            <w:tcBorders>
              <w:top w:val="single" w:sz="5" w:color="D9D9D9"/>
              <w:left w:val="single" w:sz="5" w:color="D9D9D9"/>
              <w:bottom w:val="single" w:sz="5" w:color="D9D9D9"/>
              <w:right w:val="single" w:sz="5" w:color="D9D9D9"/>
            </w:tcBorders>
            <w:shd w:fill="E7EDF2"/>
            <w:tcMar>
              <w:top w:w="75" w:type="dxa"/>
              <w:left w:w="75" w:type="dxa"/>
              <w:bottom w:w="75" w:type="dxa"/>
              <w:right w:w="75" w:type="dxa"/>
            </w:tcMar>
          </w:tcPr>
          <w:p>
            <w:pPr>
              <w:spacing w:before="40" w:after="40"/>
            </w:pPr>
            <w:r>
              <w:rPr>
                <w:b/>
                <w:sz w:val="19"/>
              </w:rPr>
              <w:t>Candidate group</w:t>
            </w:r>
          </w:p>
        </w:tc>
        <w:tc>
          <w:tcPr>
            <w:tcW w:type="dxa" w:w="4320"/>
            <w:vAlign w:val="center"/>
            <w:tcBorders>
              <w:top w:val="single" w:sz="5" w:color="D9D9D9"/>
              <w:left w:val="single" w:sz="5" w:color="D9D9D9"/>
              <w:bottom w:val="single" w:sz="5" w:color="D9D9D9"/>
              <w:right w:val="single" w:sz="5" w:color="D9D9D9"/>
            </w:tcBorders>
            <w:shd w:fill="E7EDF2"/>
            <w:tcMar>
              <w:top w:w="75" w:type="dxa"/>
              <w:left w:w="75" w:type="dxa"/>
              <w:bottom w:w="75" w:type="dxa"/>
              <w:right w:w="75" w:type="dxa"/>
            </w:tcMar>
          </w:tcPr>
          <w:p>
            <w:pPr>
              <w:spacing w:before="40" w:after="40"/>
              <w:jc w:val="center"/>
            </w:pPr>
            <w:r>
              <w:rPr>
                <w:b/>
                <w:sz w:val="19"/>
              </w:rPr>
              <w:t>Variables examined</w:t>
            </w:r>
          </w:p>
        </w:tc>
        <w:tc>
          <w:tcPr>
            <w:tcW w:type="dxa" w:w="3672"/>
            <w:vAlign w:val="center"/>
            <w:tcBorders>
              <w:top w:val="single" w:sz="5" w:color="D9D9D9"/>
              <w:left w:val="single" w:sz="5" w:color="D9D9D9"/>
              <w:bottom w:val="single" w:sz="5" w:color="D9D9D9"/>
              <w:right w:val="single" w:sz="5" w:color="D9D9D9"/>
            </w:tcBorders>
            <w:shd w:fill="E7EDF2"/>
            <w:tcMar>
              <w:top w:w="75" w:type="dxa"/>
              <w:left w:w="75" w:type="dxa"/>
              <w:bottom w:w="75" w:type="dxa"/>
              <w:right w:w="75" w:type="dxa"/>
            </w:tcMar>
          </w:tcPr>
          <w:p>
            <w:pPr>
              <w:spacing w:before="40" w:after="40"/>
              <w:jc w:val="center"/>
            </w:pPr>
            <w:r>
              <w:rPr>
                <w:b/>
                <w:sz w:val="19"/>
              </w:rPr>
              <w:t>Biological question</w:t>
            </w:r>
          </w:p>
        </w:tc>
      </w:tr>
      <w:tr>
        <w:trPr>
          <w:cantSplit/>
        </w:trPr>
        <w:tc>
          <w:tcPr>
            <w:tcW w:type="dxa" w:w="1512"/>
            <w:vAlign w:val="center"/>
            <w:tcBorders>
              <w:top w:val="single" w:sz="5" w:color="D9D9D9"/>
              <w:left w:val="single" w:sz="5" w:color="D9D9D9"/>
              <w:bottom w:val="single" w:sz="5" w:color="D9D9D9"/>
              <w:right w:val="single" w:sz="5" w:color="D9D9D9"/>
            </w:tcBorders>
            <w:shd w:fill="FFFFFF"/>
            <w:tcMar>
              <w:top w:w="75" w:type="dxa"/>
              <w:left w:w="75" w:type="dxa"/>
              <w:bottom w:w="75" w:type="dxa"/>
              <w:right w:w="75" w:type="dxa"/>
            </w:tcMar>
          </w:tcPr>
          <w:p>
            <w:pPr>
              <w:spacing w:before="40" w:after="40"/>
            </w:pPr>
            <w:r>
              <w:rPr>
                <w:b w:val="0"/>
                <w:sz w:val="19"/>
              </w:rPr>
              <w:t>Water supply</w:t>
            </w:r>
          </w:p>
        </w:tc>
        <w:tc>
          <w:tcPr>
            <w:tcW w:type="dxa" w:w="4320"/>
            <w:vAlign w:val="center"/>
            <w:tcBorders>
              <w:top w:val="single" w:sz="5" w:color="D9D9D9"/>
              <w:left w:val="single" w:sz="5" w:color="D9D9D9"/>
              <w:bottom w:val="single" w:sz="5" w:color="D9D9D9"/>
              <w:right w:val="single" w:sz="5" w:color="D9D9D9"/>
            </w:tcBorders>
            <w:shd w:fill="FFFFFF"/>
            <w:tcMar>
              <w:top w:w="75" w:type="dxa"/>
              <w:left w:w="75" w:type="dxa"/>
              <w:bottom w:w="75" w:type="dxa"/>
              <w:right w:w="75" w:type="dxa"/>
            </w:tcMar>
          </w:tcPr>
          <w:p>
            <w:pPr>
              <w:spacing w:before="40" w:after="40"/>
              <w:jc w:val="center"/>
            </w:pPr>
            <w:r>
              <w:rPr>
                <w:b w:val="0"/>
                <w:sz w:val="19"/>
              </w:rPr>
              <w:t>Spring and summer rainfall totals (mm)</w:t>
            </w:r>
          </w:p>
        </w:tc>
        <w:tc>
          <w:tcPr>
            <w:tcW w:type="dxa" w:w="3672"/>
            <w:vAlign w:val="center"/>
            <w:tcBorders>
              <w:top w:val="single" w:sz="5" w:color="D9D9D9"/>
              <w:left w:val="single" w:sz="5" w:color="D9D9D9"/>
              <w:bottom w:val="single" w:sz="5" w:color="D9D9D9"/>
              <w:right w:val="single" w:sz="5" w:color="D9D9D9"/>
            </w:tcBorders>
            <w:shd w:fill="FFFFFF"/>
            <w:tcMar>
              <w:top w:w="75" w:type="dxa"/>
              <w:left w:w="75" w:type="dxa"/>
              <w:bottom w:w="75" w:type="dxa"/>
              <w:right w:w="75" w:type="dxa"/>
            </w:tcMar>
          </w:tcPr>
          <w:p>
            <w:pPr>
              <w:spacing w:before="40" w:after="40"/>
              <w:jc w:val="center"/>
            </w:pPr>
            <w:r>
              <w:rPr>
                <w:b w:val="0"/>
                <w:sz w:val="19"/>
              </w:rPr>
              <w:t>Does water availability coincide with greater growth?</w:t>
            </w:r>
          </w:p>
        </w:tc>
      </w:tr>
      <w:tr>
        <w:trPr>
          <w:cantSplit/>
        </w:trPr>
        <w:tc>
          <w:tcPr>
            <w:tcW w:type="dxa" w:w="1512"/>
            <w:vAlign w:val="center"/>
            <w:tcBorders>
              <w:top w:val="single" w:sz="5" w:color="D9D9D9"/>
              <w:left w:val="single" w:sz="5" w:color="D9D9D9"/>
              <w:bottom w:val="single" w:sz="5" w:color="D9D9D9"/>
              <w:right w:val="single" w:sz="5" w:color="D9D9D9"/>
            </w:tcBorders>
            <w:shd w:fill="FFFFFF"/>
            <w:tcMar>
              <w:top w:w="75" w:type="dxa"/>
              <w:left w:w="75" w:type="dxa"/>
              <w:bottom w:w="75" w:type="dxa"/>
              <w:right w:w="75" w:type="dxa"/>
            </w:tcMar>
          </w:tcPr>
          <w:p>
            <w:pPr>
              <w:spacing w:before="40" w:after="40"/>
            </w:pPr>
            <w:r>
              <w:rPr>
                <w:b w:val="0"/>
                <w:sz w:val="19"/>
              </w:rPr>
              <w:t>Warmth</w:t>
            </w:r>
          </w:p>
        </w:tc>
        <w:tc>
          <w:tcPr>
            <w:tcW w:type="dxa" w:w="4320"/>
            <w:vAlign w:val="center"/>
            <w:tcBorders>
              <w:top w:val="single" w:sz="5" w:color="D9D9D9"/>
              <w:left w:val="single" w:sz="5" w:color="D9D9D9"/>
              <w:bottom w:val="single" w:sz="5" w:color="D9D9D9"/>
              <w:right w:val="single" w:sz="5" w:color="D9D9D9"/>
            </w:tcBorders>
            <w:shd w:fill="FFFFFF"/>
            <w:tcMar>
              <w:top w:w="75" w:type="dxa"/>
              <w:left w:w="75" w:type="dxa"/>
              <w:bottom w:w="75" w:type="dxa"/>
              <w:right w:w="75" w:type="dxa"/>
            </w:tcMar>
          </w:tcPr>
          <w:p>
            <w:pPr>
              <w:spacing w:before="40" w:after="40"/>
              <w:jc w:val="center"/>
            </w:pPr>
            <w:r>
              <w:rPr>
                <w:b w:val="0"/>
                <w:sz w:val="19"/>
              </w:rPr>
              <w:t>Spring and summer mean air temperature (°C)</w:t>
            </w:r>
          </w:p>
        </w:tc>
        <w:tc>
          <w:tcPr>
            <w:tcW w:type="dxa" w:w="3672"/>
            <w:vAlign w:val="center"/>
            <w:tcBorders>
              <w:top w:val="single" w:sz="5" w:color="D9D9D9"/>
              <w:left w:val="single" w:sz="5" w:color="D9D9D9"/>
              <w:bottom w:val="single" w:sz="5" w:color="D9D9D9"/>
              <w:right w:val="single" w:sz="5" w:color="D9D9D9"/>
            </w:tcBorders>
            <w:shd w:fill="FFFFFF"/>
            <w:tcMar>
              <w:top w:w="75" w:type="dxa"/>
              <w:left w:w="75" w:type="dxa"/>
              <w:bottom w:w="75" w:type="dxa"/>
              <w:right w:w="75" w:type="dxa"/>
            </w:tcMar>
          </w:tcPr>
          <w:p>
            <w:pPr>
              <w:spacing w:before="40" w:after="40"/>
              <w:jc w:val="center"/>
            </w:pPr>
            <w:r>
              <w:rPr>
                <w:b w:val="0"/>
                <w:sz w:val="19"/>
              </w:rPr>
              <w:t>Does seasonal warmth coincide with greater growth?</w:t>
            </w:r>
          </w:p>
        </w:tc>
      </w:tr>
      <w:tr>
        <w:trPr>
          <w:cantSplit/>
        </w:trPr>
        <w:tc>
          <w:tcPr>
            <w:tcW w:type="dxa" w:w="1512"/>
            <w:vAlign w:val="center"/>
            <w:tcBorders>
              <w:top w:val="single" w:sz="5" w:color="D9D9D9"/>
              <w:left w:val="single" w:sz="5" w:color="D9D9D9"/>
              <w:bottom w:val="single" w:sz="5" w:color="D9D9D9"/>
              <w:right w:val="single" w:sz="5" w:color="D9D9D9"/>
            </w:tcBorders>
            <w:shd w:fill="FFFFFF"/>
            <w:tcMar>
              <w:top w:w="75" w:type="dxa"/>
              <w:left w:w="75" w:type="dxa"/>
              <w:bottom w:w="75" w:type="dxa"/>
              <w:right w:w="75" w:type="dxa"/>
            </w:tcMar>
          </w:tcPr>
          <w:p>
            <w:pPr>
              <w:spacing w:before="40" w:after="40"/>
            </w:pPr>
            <w:r>
              <w:rPr>
                <w:b w:val="0"/>
                <w:sz w:val="19"/>
              </w:rPr>
              <w:t>Light</w:t>
            </w:r>
          </w:p>
        </w:tc>
        <w:tc>
          <w:tcPr>
            <w:tcW w:type="dxa" w:w="4320"/>
            <w:vAlign w:val="center"/>
            <w:tcBorders>
              <w:top w:val="single" w:sz="5" w:color="D9D9D9"/>
              <w:left w:val="single" w:sz="5" w:color="D9D9D9"/>
              <w:bottom w:val="single" w:sz="5" w:color="D9D9D9"/>
              <w:right w:val="single" w:sz="5" w:color="D9D9D9"/>
            </w:tcBorders>
            <w:shd w:fill="FFFFFF"/>
            <w:tcMar>
              <w:top w:w="75" w:type="dxa"/>
              <w:left w:w="75" w:type="dxa"/>
              <w:bottom w:w="75" w:type="dxa"/>
              <w:right w:w="75" w:type="dxa"/>
            </w:tcMar>
          </w:tcPr>
          <w:p>
            <w:pPr>
              <w:spacing w:before="40" w:after="40"/>
              <w:jc w:val="center"/>
            </w:pPr>
            <w:r>
              <w:rPr>
                <w:b w:val="0"/>
                <w:sz w:val="19"/>
              </w:rPr>
              <w:t>Spring and summer sunshine totals (hours)</w:t>
            </w:r>
          </w:p>
        </w:tc>
        <w:tc>
          <w:tcPr>
            <w:tcW w:type="dxa" w:w="3672"/>
            <w:vAlign w:val="center"/>
            <w:tcBorders>
              <w:top w:val="single" w:sz="5" w:color="D9D9D9"/>
              <w:left w:val="single" w:sz="5" w:color="D9D9D9"/>
              <w:bottom w:val="single" w:sz="5" w:color="D9D9D9"/>
              <w:right w:val="single" w:sz="5" w:color="D9D9D9"/>
            </w:tcBorders>
            <w:shd w:fill="FFFFFF"/>
            <w:tcMar>
              <w:top w:w="75" w:type="dxa"/>
              <w:left w:w="75" w:type="dxa"/>
              <w:bottom w:w="75" w:type="dxa"/>
              <w:right w:w="75" w:type="dxa"/>
            </w:tcMar>
          </w:tcPr>
          <w:p>
            <w:pPr>
              <w:spacing w:before="40" w:after="40"/>
              <w:jc w:val="center"/>
            </w:pPr>
            <w:r>
              <w:rPr>
                <w:b w:val="0"/>
                <w:sz w:val="19"/>
              </w:rPr>
              <w:t>Does light availability coincide with greater growth?</w:t>
            </w:r>
          </w:p>
        </w:tc>
      </w:tr>
      <w:tr>
        <w:trPr>
          <w:cantSplit/>
        </w:trPr>
        <w:tc>
          <w:tcPr>
            <w:tcW w:type="dxa" w:w="1512"/>
            <w:vAlign w:val="center"/>
            <w:tcBorders>
              <w:top w:val="single" w:sz="5" w:color="D9D9D9"/>
              <w:left w:val="single" w:sz="5" w:color="D9D9D9"/>
              <w:bottom w:val="single" w:sz="5" w:color="D9D9D9"/>
              <w:right w:val="single" w:sz="5" w:color="D9D9D9"/>
            </w:tcBorders>
            <w:shd w:fill="FFFFFF"/>
            <w:tcMar>
              <w:top w:w="75" w:type="dxa"/>
              <w:left w:w="75" w:type="dxa"/>
              <w:bottom w:w="75" w:type="dxa"/>
              <w:right w:w="75" w:type="dxa"/>
            </w:tcMar>
          </w:tcPr>
          <w:p>
            <w:pPr>
              <w:spacing w:before="40" w:after="40"/>
            </w:pPr>
            <w:r>
              <w:rPr>
                <w:b w:val="0"/>
                <w:sz w:val="19"/>
              </w:rPr>
              <w:t>Dry conditions</w:t>
            </w:r>
          </w:p>
        </w:tc>
        <w:tc>
          <w:tcPr>
            <w:tcW w:type="dxa" w:w="4320"/>
            <w:vAlign w:val="center"/>
            <w:tcBorders>
              <w:top w:val="single" w:sz="5" w:color="D9D9D9"/>
              <w:left w:val="single" w:sz="5" w:color="D9D9D9"/>
              <w:bottom w:val="single" w:sz="5" w:color="D9D9D9"/>
              <w:right w:val="single" w:sz="5" w:color="D9D9D9"/>
            </w:tcBorders>
            <w:shd w:fill="FFFFFF"/>
            <w:tcMar>
              <w:top w:w="75" w:type="dxa"/>
              <w:left w:w="75" w:type="dxa"/>
              <w:bottom w:w="75" w:type="dxa"/>
              <w:right w:w="75" w:type="dxa"/>
            </w:tcMar>
          </w:tcPr>
          <w:p>
            <w:pPr>
              <w:spacing w:before="40" w:after="40"/>
              <w:jc w:val="center"/>
            </w:pPr>
            <w:r>
              <w:rPr>
                <w:b w:val="0"/>
                <w:sz w:val="19"/>
              </w:rPr>
              <w:t>Longest April–September dry spell (days)</w:t>
            </w:r>
          </w:p>
        </w:tc>
        <w:tc>
          <w:tcPr>
            <w:tcW w:type="dxa" w:w="3672"/>
            <w:vAlign w:val="center"/>
            <w:tcBorders>
              <w:top w:val="single" w:sz="5" w:color="D9D9D9"/>
              <w:left w:val="single" w:sz="5" w:color="D9D9D9"/>
              <w:bottom w:val="single" w:sz="5" w:color="D9D9D9"/>
              <w:right w:val="single" w:sz="5" w:color="D9D9D9"/>
            </w:tcBorders>
            <w:shd w:fill="FFFFFF"/>
            <w:tcMar>
              <w:top w:w="75" w:type="dxa"/>
              <w:left w:w="75" w:type="dxa"/>
              <w:bottom w:w="75" w:type="dxa"/>
              <w:right w:w="75" w:type="dxa"/>
            </w:tcMar>
          </w:tcPr>
          <w:p>
            <w:pPr>
              <w:spacing w:before="40" w:after="40"/>
              <w:jc w:val="center"/>
            </w:pPr>
            <w:r>
              <w:rPr>
                <w:b w:val="0"/>
                <w:sz w:val="19"/>
              </w:rPr>
              <w:t>Does sustained low rainfall coincide with reduced growth?</w:t>
            </w:r>
          </w:p>
        </w:tc>
      </w:tr>
      <w:tr>
        <w:trPr>
          <w:cantSplit/>
        </w:trPr>
        <w:tc>
          <w:tcPr>
            <w:tcW w:type="dxa" w:w="1512"/>
            <w:vAlign w:val="center"/>
            <w:tcBorders>
              <w:top w:val="single" w:sz="5" w:color="D9D9D9"/>
              <w:left w:val="single" w:sz="5" w:color="D9D9D9"/>
              <w:bottom w:val="single" w:sz="5" w:color="D9D9D9"/>
              <w:right w:val="single" w:sz="5" w:color="D9D9D9"/>
            </w:tcBorders>
            <w:shd w:fill="FFFFFF"/>
            <w:tcMar>
              <w:top w:w="75" w:type="dxa"/>
              <w:left w:w="75" w:type="dxa"/>
              <w:bottom w:w="75" w:type="dxa"/>
              <w:right w:w="75" w:type="dxa"/>
            </w:tcMar>
          </w:tcPr>
          <w:p>
            <w:pPr>
              <w:spacing w:before="40" w:after="40"/>
            </w:pPr>
            <w:r>
              <w:rPr>
                <w:b w:val="0"/>
                <w:sz w:val="19"/>
              </w:rPr>
              <w:t>Frost</w:t>
            </w:r>
          </w:p>
        </w:tc>
        <w:tc>
          <w:tcPr>
            <w:tcW w:type="dxa" w:w="4320"/>
            <w:vAlign w:val="center"/>
            <w:tcBorders>
              <w:top w:val="single" w:sz="5" w:color="D9D9D9"/>
              <w:left w:val="single" w:sz="5" w:color="D9D9D9"/>
              <w:bottom w:val="single" w:sz="5" w:color="D9D9D9"/>
              <w:right w:val="single" w:sz="5" w:color="D9D9D9"/>
            </w:tcBorders>
            <w:shd w:fill="FFFFFF"/>
            <w:tcMar>
              <w:top w:w="75" w:type="dxa"/>
              <w:left w:w="75" w:type="dxa"/>
              <w:bottom w:w="75" w:type="dxa"/>
              <w:right w:w="75" w:type="dxa"/>
            </w:tcMar>
          </w:tcPr>
          <w:p>
            <w:pPr>
              <w:spacing w:before="40" w:after="40"/>
              <w:jc w:val="center"/>
            </w:pPr>
            <w:r>
              <w:rPr>
                <w:b w:val="0"/>
                <w:sz w:val="19"/>
              </w:rPr>
              <w:t>Spring air and ground frost days</w:t>
            </w:r>
          </w:p>
        </w:tc>
        <w:tc>
          <w:tcPr>
            <w:tcW w:type="dxa" w:w="3672"/>
            <w:vAlign w:val="center"/>
            <w:tcBorders>
              <w:top w:val="single" w:sz="5" w:color="D9D9D9"/>
              <w:left w:val="single" w:sz="5" w:color="D9D9D9"/>
              <w:bottom w:val="single" w:sz="5" w:color="D9D9D9"/>
              <w:right w:val="single" w:sz="5" w:color="D9D9D9"/>
            </w:tcBorders>
            <w:shd w:fill="FFFFFF"/>
            <w:tcMar>
              <w:top w:w="75" w:type="dxa"/>
              <w:left w:w="75" w:type="dxa"/>
              <w:bottom w:w="75" w:type="dxa"/>
              <w:right w:w="75" w:type="dxa"/>
            </w:tcMar>
          </w:tcPr>
          <w:p>
            <w:pPr>
              <w:spacing w:before="40" w:after="40"/>
              <w:jc w:val="center"/>
            </w:pPr>
            <w:r>
              <w:rPr>
                <w:b w:val="0"/>
                <w:sz w:val="19"/>
              </w:rPr>
              <w:t>Does frost coincide with reduced growth?</w:t>
            </w:r>
          </w:p>
        </w:tc>
      </w:tr>
    </w:tbl>
    <w:p>
      <w:pPr>
        <w:spacing w:after="0"/>
      </w:pPr>
    </w:p>
    <w:p>
      <w:r>
        <w:t>Spring means March–May and summer means June–August. A dry day has rainfall &lt;1 mm; the dry spell is the longest consecutive run. Air and ground frost are days with minimum air and grass temperature below 0 °C, respectively. A candidate seasonal value is used only when all expected daily observations for that variable are available. No further daily weather imputation is introduced in these analyses; completeness is assessed on the prepared series.</w:t>
      </w:r>
    </w:p>
    <w:p>
      <w:pPr>
        <w:pStyle w:val="Heading1"/>
        <w:pageBreakBefore/>
      </w:pPr>
      <w:r>
        <w:t>Timing of PAIC and weather windows</w:t>
      </w:r>
    </w:p>
    <w:p>
      <w:r>
        <w:t>The year labels identify measurements, while the weather must describe the growth that those measurements capture. Let t be the recorded measurement year and s the previous observed measurement year. Under the adopted dormant-season measurement convention, the most recent completed growth year is g = t − 1. This is an alignment of growth and weather, not evidence of a delayed one-year physiological response to weather.</w:t>
      </w:r>
    </w:p>
    <w:p>
      <w:r>
        <w:t>PAIC recorded at t represents the annualised carbon-stock increment over the interval from s to t: PAICₜ = (Cₜ − Cₛ)/(t − s). For consecutive annual visits, s = t − 1. After a measurement gap, s is the last year actually observed. The weather models use supplied annualised tree-level PAIC values, summarised by hybrid medians; separately recalculated stock differences are preparation audits rather than replacements of the supplied response.</w:t>
      </w:r>
    </w:p>
    <w:p>
      <w:r>
        <w:t>The original online discussion used a March 2002 visit as the example: the increment since the preceding annual visit mainly represents the 2001 growing season. Relevant summer weather is therefore June–August 2001. The winter preceding that growing season is December 2000–February 2001. December 2001–February 2002 is the winter after that growth season, immediately before the March 2002 visit; it is not the “previous winter” window defined in these scripts.</w:t>
      </w:r>
    </w:p>
    <w:tbl>
      <w:tblPr>
        <w:tblW w:type="auto" w:w="0"/>
        <w:tblLayout w:type="fixed"/>
        <w:tblLook w:firstColumn="1" w:firstRow="1" w:lastColumn="0" w:lastRow="0" w:noHBand="0" w:noVBand="1" w:val="04A0"/>
      </w:tblPr>
      <w:tblGrid>
        <w:gridCol w:w="1944"/>
        <w:gridCol w:w="3816"/>
        <w:gridCol w:w="3744"/>
      </w:tblGrid>
      <w:tr>
        <w:trPr>
          <w:cantSplit/>
          <w:tblHeader/>
        </w:trPr>
        <w:tc>
          <w:tcPr>
            <w:tcW w:type="dxa" w:w="1944"/>
            <w:vAlign w:val="center"/>
            <w:tcBorders>
              <w:top w:val="single" w:sz="5" w:color="D9D9D9"/>
              <w:left w:val="single" w:sz="5" w:color="D9D9D9"/>
              <w:bottom w:val="single" w:sz="5" w:color="D9D9D9"/>
              <w:right w:val="single" w:sz="5" w:color="D9D9D9"/>
            </w:tcBorders>
            <w:tcMar>
              <w:top w:w="75" w:type="dxa"/>
              <w:left w:w="75" w:type="dxa"/>
              <w:bottom w:w="75" w:type="dxa"/>
              <w:right w:w="75" w:type="dxa"/>
            </w:tcMar>
            <w:shd w:fill="E7EDF2"/>
          </w:tcPr>
          <w:p>
            <w:pPr>
              <w:spacing w:after="60" w:before="60"/>
            </w:pPr>
            <w:r>
              <w:rPr>
                <w:b/>
                <w:sz w:val="19"/>
              </w:rPr>
              <w:t>Weather window</w:t>
            </w:r>
          </w:p>
        </w:tc>
        <w:tc>
          <w:tcPr>
            <w:tcW w:type="dxa" w:w="3816"/>
            <w:vAlign w:val="center"/>
            <w:tcBorders>
              <w:top w:val="single" w:sz="5" w:color="D9D9D9"/>
              <w:left w:val="single" w:sz="5" w:color="D9D9D9"/>
              <w:bottom w:val="single" w:sz="5" w:color="D9D9D9"/>
              <w:right w:val="single" w:sz="5" w:color="D9D9D9"/>
            </w:tcBorders>
            <w:tcMar>
              <w:top w:w="75" w:type="dxa"/>
              <w:left w:w="75" w:type="dxa"/>
              <w:bottom w:w="75" w:type="dxa"/>
              <w:right w:w="75" w:type="dxa"/>
            </w:tcMar>
            <w:shd w:fill="E7EDF2"/>
          </w:tcPr>
          <w:p>
            <w:pPr>
              <w:spacing w:after="60" w:before="60"/>
            </w:pPr>
            <w:r>
              <w:rPr>
                <w:b/>
                <w:sz w:val="19"/>
              </w:rPr>
              <w:t>Dates relative to measurement year t</w:t>
            </w:r>
          </w:p>
        </w:tc>
        <w:tc>
          <w:tcPr>
            <w:tcW w:type="dxa" w:w="3744"/>
            <w:vAlign w:val="center"/>
            <w:tcBorders>
              <w:top w:val="single" w:sz="5" w:color="D9D9D9"/>
              <w:left w:val="single" w:sz="5" w:color="D9D9D9"/>
              <w:bottom w:val="single" w:sz="5" w:color="D9D9D9"/>
              <w:right w:val="single" w:sz="5" w:color="D9D9D9"/>
            </w:tcBorders>
            <w:tcMar>
              <w:top w:w="75" w:type="dxa"/>
              <w:left w:w="75" w:type="dxa"/>
              <w:bottom w:w="75" w:type="dxa"/>
              <w:right w:w="75" w:type="dxa"/>
            </w:tcMar>
            <w:shd w:fill="E7EDF2"/>
          </w:tcPr>
          <w:p>
            <w:pPr>
              <w:spacing w:after="60" w:before="60"/>
            </w:pPr>
            <w:r>
              <w:rPr>
                <w:b/>
                <w:sz w:val="19"/>
              </w:rPr>
              <w:t>Example for t = 2002</w:t>
            </w:r>
          </w:p>
        </w:tc>
      </w:tr>
      <w:tr>
        <w:trPr>
          <w:cantSplit/>
        </w:trPr>
        <w:tc>
          <w:tcPr>
            <w:tcW w:type="dxa" w:w="1944"/>
            <w:vAlign w:val="center"/>
            <w:tcBorders>
              <w:top w:val="single" w:sz="5" w:color="D9D9D9"/>
              <w:left w:val="single" w:sz="5" w:color="D9D9D9"/>
              <w:bottom w:val="single" w:sz="5" w:color="D9D9D9"/>
              <w:right w:val="single" w:sz="5" w:color="D9D9D9"/>
            </w:tcBorders>
            <w:tcMar>
              <w:top w:w="75" w:type="dxa"/>
              <w:left w:w="75" w:type="dxa"/>
              <w:bottom w:w="75" w:type="dxa"/>
              <w:right w:w="75" w:type="dxa"/>
            </w:tcMar>
          </w:tcPr>
          <w:p>
            <w:pPr>
              <w:spacing w:after="60" w:before="60"/>
            </w:pPr>
            <w:r>
              <w:rPr>
                <w:b w:val="0"/>
                <w:sz w:val="19"/>
              </w:rPr>
              <w:t>Spring</w:t>
            </w:r>
          </w:p>
        </w:tc>
        <w:tc>
          <w:tcPr>
            <w:tcW w:type="dxa" w:w="3816"/>
            <w:vAlign w:val="center"/>
            <w:tcBorders>
              <w:top w:val="single" w:sz="5" w:color="D9D9D9"/>
              <w:left w:val="single" w:sz="5" w:color="D9D9D9"/>
              <w:bottom w:val="single" w:sz="5" w:color="D9D9D9"/>
              <w:right w:val="single" w:sz="5" w:color="D9D9D9"/>
            </w:tcBorders>
            <w:tcMar>
              <w:top w:w="75" w:type="dxa"/>
              <w:left w:w="75" w:type="dxa"/>
              <w:bottom w:w="75" w:type="dxa"/>
              <w:right w:w="75" w:type="dxa"/>
            </w:tcMar>
          </w:tcPr>
          <w:p>
            <w:pPr>
              <w:spacing w:after="60" w:before="60"/>
            </w:pPr>
            <w:r>
              <w:rPr>
                <w:b w:val="0"/>
                <w:sz w:val="19"/>
              </w:rPr>
              <w:t>1 March–31 May of t − 1</w:t>
            </w:r>
          </w:p>
        </w:tc>
        <w:tc>
          <w:tcPr>
            <w:tcW w:type="dxa" w:w="3744"/>
            <w:vAlign w:val="center"/>
            <w:tcBorders>
              <w:top w:val="single" w:sz="5" w:color="D9D9D9"/>
              <w:left w:val="single" w:sz="5" w:color="D9D9D9"/>
              <w:bottom w:val="single" w:sz="5" w:color="D9D9D9"/>
              <w:right w:val="single" w:sz="5" w:color="D9D9D9"/>
            </w:tcBorders>
            <w:tcMar>
              <w:top w:w="75" w:type="dxa"/>
              <w:left w:w="75" w:type="dxa"/>
              <w:bottom w:w="75" w:type="dxa"/>
              <w:right w:w="75" w:type="dxa"/>
            </w:tcMar>
          </w:tcPr>
          <w:p>
            <w:pPr>
              <w:spacing w:after="60" w:before="60"/>
            </w:pPr>
            <w:r>
              <w:rPr>
                <w:b w:val="0"/>
                <w:sz w:val="19"/>
              </w:rPr>
              <w:t>1 March–31 May 2001</w:t>
            </w:r>
          </w:p>
        </w:tc>
      </w:tr>
      <w:tr>
        <w:trPr>
          <w:cantSplit/>
        </w:trPr>
        <w:tc>
          <w:tcPr>
            <w:tcW w:type="dxa" w:w="1944"/>
            <w:vAlign w:val="center"/>
            <w:tcBorders>
              <w:top w:val="single" w:sz="5" w:color="D9D9D9"/>
              <w:left w:val="single" w:sz="5" w:color="D9D9D9"/>
              <w:bottom w:val="single" w:sz="5" w:color="D9D9D9"/>
              <w:right w:val="single" w:sz="5" w:color="D9D9D9"/>
            </w:tcBorders>
            <w:tcMar>
              <w:top w:w="75" w:type="dxa"/>
              <w:left w:w="75" w:type="dxa"/>
              <w:bottom w:w="75" w:type="dxa"/>
              <w:right w:w="75" w:type="dxa"/>
            </w:tcMar>
          </w:tcPr>
          <w:p>
            <w:pPr>
              <w:spacing w:after="60" w:before="60"/>
            </w:pPr>
            <w:r>
              <w:rPr>
                <w:b w:val="0"/>
                <w:sz w:val="19"/>
              </w:rPr>
              <w:t>Summer</w:t>
            </w:r>
          </w:p>
        </w:tc>
        <w:tc>
          <w:tcPr>
            <w:tcW w:type="dxa" w:w="3816"/>
            <w:vAlign w:val="center"/>
            <w:tcBorders>
              <w:top w:val="single" w:sz="5" w:color="D9D9D9"/>
              <w:left w:val="single" w:sz="5" w:color="D9D9D9"/>
              <w:bottom w:val="single" w:sz="5" w:color="D9D9D9"/>
              <w:right w:val="single" w:sz="5" w:color="D9D9D9"/>
            </w:tcBorders>
            <w:tcMar>
              <w:top w:w="75" w:type="dxa"/>
              <w:left w:w="75" w:type="dxa"/>
              <w:bottom w:w="75" w:type="dxa"/>
              <w:right w:w="75" w:type="dxa"/>
            </w:tcMar>
          </w:tcPr>
          <w:p>
            <w:pPr>
              <w:spacing w:after="60" w:before="60"/>
            </w:pPr>
            <w:r>
              <w:rPr>
                <w:b w:val="0"/>
                <w:sz w:val="19"/>
              </w:rPr>
              <w:t>1 June–31 August of t − 1</w:t>
            </w:r>
          </w:p>
        </w:tc>
        <w:tc>
          <w:tcPr>
            <w:tcW w:type="dxa" w:w="3744"/>
            <w:vAlign w:val="center"/>
            <w:tcBorders>
              <w:top w:val="single" w:sz="5" w:color="D9D9D9"/>
              <w:left w:val="single" w:sz="5" w:color="D9D9D9"/>
              <w:bottom w:val="single" w:sz="5" w:color="D9D9D9"/>
              <w:right w:val="single" w:sz="5" w:color="D9D9D9"/>
            </w:tcBorders>
            <w:tcMar>
              <w:top w:w="75" w:type="dxa"/>
              <w:left w:w="75" w:type="dxa"/>
              <w:bottom w:w="75" w:type="dxa"/>
              <w:right w:w="75" w:type="dxa"/>
            </w:tcMar>
          </w:tcPr>
          <w:p>
            <w:pPr>
              <w:spacing w:after="60" w:before="60"/>
            </w:pPr>
            <w:r>
              <w:rPr>
                <w:b w:val="0"/>
                <w:sz w:val="19"/>
              </w:rPr>
              <w:t>1 June–31 August 2001</w:t>
            </w:r>
          </w:p>
        </w:tc>
      </w:tr>
      <w:tr>
        <w:trPr>
          <w:cantSplit/>
        </w:trPr>
        <w:tc>
          <w:tcPr>
            <w:tcW w:type="dxa" w:w="1944"/>
            <w:vAlign w:val="center"/>
            <w:tcBorders>
              <w:top w:val="single" w:sz="5" w:color="D9D9D9"/>
              <w:left w:val="single" w:sz="5" w:color="D9D9D9"/>
              <w:bottom w:val="single" w:sz="5" w:color="D9D9D9"/>
              <w:right w:val="single" w:sz="5" w:color="D9D9D9"/>
            </w:tcBorders>
            <w:tcMar>
              <w:top w:w="75" w:type="dxa"/>
              <w:left w:w="75" w:type="dxa"/>
              <w:bottom w:w="75" w:type="dxa"/>
              <w:right w:w="75" w:type="dxa"/>
            </w:tcMar>
          </w:tcPr>
          <w:p>
            <w:pPr>
              <w:spacing w:after="60" w:before="60"/>
            </w:pPr>
            <w:r>
              <w:rPr>
                <w:b w:val="0"/>
                <w:sz w:val="19"/>
              </w:rPr>
              <w:t>Autumn</w:t>
            </w:r>
          </w:p>
        </w:tc>
        <w:tc>
          <w:tcPr>
            <w:tcW w:type="dxa" w:w="3816"/>
            <w:vAlign w:val="center"/>
            <w:tcBorders>
              <w:top w:val="single" w:sz="5" w:color="D9D9D9"/>
              <w:left w:val="single" w:sz="5" w:color="D9D9D9"/>
              <w:bottom w:val="single" w:sz="5" w:color="D9D9D9"/>
              <w:right w:val="single" w:sz="5" w:color="D9D9D9"/>
            </w:tcBorders>
            <w:tcMar>
              <w:top w:w="75" w:type="dxa"/>
              <w:left w:w="75" w:type="dxa"/>
              <w:bottom w:w="75" w:type="dxa"/>
              <w:right w:w="75" w:type="dxa"/>
            </w:tcMar>
          </w:tcPr>
          <w:p>
            <w:pPr>
              <w:spacing w:after="60" w:before="60"/>
            </w:pPr>
            <w:r>
              <w:rPr>
                <w:b w:val="0"/>
                <w:sz w:val="19"/>
              </w:rPr>
              <w:t>1 September–30 November of t − 1</w:t>
            </w:r>
          </w:p>
        </w:tc>
        <w:tc>
          <w:tcPr>
            <w:tcW w:type="dxa" w:w="3744"/>
            <w:vAlign w:val="center"/>
            <w:tcBorders>
              <w:top w:val="single" w:sz="5" w:color="D9D9D9"/>
              <w:left w:val="single" w:sz="5" w:color="D9D9D9"/>
              <w:bottom w:val="single" w:sz="5" w:color="D9D9D9"/>
              <w:right w:val="single" w:sz="5" w:color="D9D9D9"/>
            </w:tcBorders>
            <w:tcMar>
              <w:top w:w="75" w:type="dxa"/>
              <w:left w:w="75" w:type="dxa"/>
              <w:bottom w:w="75" w:type="dxa"/>
              <w:right w:w="75" w:type="dxa"/>
            </w:tcMar>
          </w:tcPr>
          <w:p>
            <w:pPr>
              <w:spacing w:after="60" w:before="60"/>
            </w:pPr>
            <w:r>
              <w:rPr>
                <w:b w:val="0"/>
                <w:sz w:val="19"/>
              </w:rPr>
              <w:t>1 September–30 November 2001</w:t>
            </w:r>
          </w:p>
        </w:tc>
      </w:tr>
      <w:tr>
        <w:trPr>
          <w:cantSplit/>
        </w:trPr>
        <w:tc>
          <w:tcPr>
            <w:tcW w:type="dxa" w:w="1944"/>
            <w:vAlign w:val="center"/>
            <w:tcBorders>
              <w:top w:val="single" w:sz="5" w:color="D9D9D9"/>
              <w:left w:val="single" w:sz="5" w:color="D9D9D9"/>
              <w:bottom w:val="single" w:sz="5" w:color="D9D9D9"/>
              <w:right w:val="single" w:sz="5" w:color="D9D9D9"/>
            </w:tcBorders>
            <w:tcMar>
              <w:top w:w="75" w:type="dxa"/>
              <w:left w:w="75" w:type="dxa"/>
              <w:bottom w:w="75" w:type="dxa"/>
              <w:right w:w="75" w:type="dxa"/>
            </w:tcMar>
          </w:tcPr>
          <w:p>
            <w:pPr>
              <w:spacing w:after="60" w:before="60"/>
            </w:pPr>
            <w:r>
              <w:rPr>
                <w:b w:val="0"/>
                <w:sz w:val="19"/>
              </w:rPr>
              <w:t>Previous winter</w:t>
            </w:r>
          </w:p>
        </w:tc>
        <w:tc>
          <w:tcPr>
            <w:tcW w:type="dxa" w:w="3816"/>
            <w:vAlign w:val="center"/>
            <w:tcBorders>
              <w:top w:val="single" w:sz="5" w:color="D9D9D9"/>
              <w:left w:val="single" w:sz="5" w:color="D9D9D9"/>
              <w:bottom w:val="single" w:sz="5" w:color="D9D9D9"/>
              <w:right w:val="single" w:sz="5" w:color="D9D9D9"/>
            </w:tcBorders>
            <w:tcMar>
              <w:top w:w="75" w:type="dxa"/>
              <w:left w:w="75" w:type="dxa"/>
              <w:bottom w:w="75" w:type="dxa"/>
              <w:right w:w="75" w:type="dxa"/>
            </w:tcMar>
          </w:tcPr>
          <w:p>
            <w:pPr>
              <w:spacing w:after="60" w:before="60"/>
            </w:pPr>
            <w:r>
              <w:rPr>
                <w:b w:val="0"/>
                <w:sz w:val="19"/>
              </w:rPr>
              <w:t>1 December of t − 2 to the last day of February of t − 1</w:t>
            </w:r>
          </w:p>
        </w:tc>
        <w:tc>
          <w:tcPr>
            <w:tcW w:type="dxa" w:w="3744"/>
            <w:vAlign w:val="center"/>
            <w:tcBorders>
              <w:top w:val="single" w:sz="5" w:color="D9D9D9"/>
              <w:left w:val="single" w:sz="5" w:color="D9D9D9"/>
              <w:bottom w:val="single" w:sz="5" w:color="D9D9D9"/>
              <w:right w:val="single" w:sz="5" w:color="D9D9D9"/>
            </w:tcBorders>
            <w:tcMar>
              <w:top w:w="75" w:type="dxa"/>
              <w:left w:w="75" w:type="dxa"/>
              <w:bottom w:w="75" w:type="dxa"/>
              <w:right w:w="75" w:type="dxa"/>
            </w:tcMar>
          </w:tcPr>
          <w:p>
            <w:pPr>
              <w:spacing w:after="60" w:before="60"/>
            </w:pPr>
            <w:r>
              <w:rPr>
                <w:b w:val="0"/>
                <w:sz w:val="19"/>
              </w:rPr>
              <w:t>1 December 2000–28 February 2001</w:t>
            </w:r>
          </w:p>
        </w:tc>
      </w:tr>
      <w:tr>
        <w:trPr>
          <w:cantSplit/>
        </w:trPr>
        <w:tc>
          <w:tcPr>
            <w:tcW w:type="dxa" w:w="1944"/>
            <w:vAlign w:val="center"/>
            <w:tcBorders>
              <w:top w:val="single" w:sz="5" w:color="D9D9D9"/>
              <w:left w:val="single" w:sz="5" w:color="D9D9D9"/>
              <w:bottom w:val="single" w:sz="5" w:color="D9D9D9"/>
              <w:right w:val="single" w:sz="5" w:color="D9D9D9"/>
            </w:tcBorders>
            <w:tcMar>
              <w:top w:w="75" w:type="dxa"/>
              <w:left w:w="75" w:type="dxa"/>
              <w:bottom w:w="75" w:type="dxa"/>
              <w:right w:w="75" w:type="dxa"/>
            </w:tcMar>
          </w:tcPr>
          <w:p>
            <w:pPr>
              <w:spacing w:after="60" w:before="60"/>
            </w:pPr>
            <w:r>
              <w:rPr>
                <w:b w:val="0"/>
                <w:sz w:val="19"/>
              </w:rPr>
              <w:t>Winter half-year</w:t>
            </w:r>
          </w:p>
        </w:tc>
        <w:tc>
          <w:tcPr>
            <w:tcW w:type="dxa" w:w="3816"/>
            <w:vAlign w:val="center"/>
            <w:tcBorders>
              <w:top w:val="single" w:sz="5" w:color="D9D9D9"/>
              <w:left w:val="single" w:sz="5" w:color="D9D9D9"/>
              <w:bottom w:val="single" w:sz="5" w:color="D9D9D9"/>
              <w:right w:val="single" w:sz="5" w:color="D9D9D9"/>
            </w:tcBorders>
            <w:tcMar>
              <w:top w:w="75" w:type="dxa"/>
              <w:left w:w="75" w:type="dxa"/>
              <w:bottom w:w="75" w:type="dxa"/>
              <w:right w:w="75" w:type="dxa"/>
            </w:tcMar>
          </w:tcPr>
          <w:p>
            <w:pPr>
              <w:spacing w:after="60" w:before="60"/>
            </w:pPr>
            <w:r>
              <w:rPr>
                <w:b w:val="0"/>
                <w:sz w:val="19"/>
              </w:rPr>
              <w:t>1 October of t − 2 to 31 March of t − 1</w:t>
            </w:r>
          </w:p>
        </w:tc>
        <w:tc>
          <w:tcPr>
            <w:tcW w:type="dxa" w:w="3744"/>
            <w:vAlign w:val="center"/>
            <w:tcBorders>
              <w:top w:val="single" w:sz="5" w:color="D9D9D9"/>
              <w:left w:val="single" w:sz="5" w:color="D9D9D9"/>
              <w:bottom w:val="single" w:sz="5" w:color="D9D9D9"/>
              <w:right w:val="single" w:sz="5" w:color="D9D9D9"/>
            </w:tcBorders>
            <w:tcMar>
              <w:top w:w="75" w:type="dxa"/>
              <w:left w:w="75" w:type="dxa"/>
              <w:bottom w:w="75" w:type="dxa"/>
              <w:right w:w="75" w:type="dxa"/>
            </w:tcMar>
          </w:tcPr>
          <w:p>
            <w:pPr>
              <w:spacing w:after="60" w:before="60"/>
            </w:pPr>
            <w:r>
              <w:rPr>
                <w:b w:val="0"/>
                <w:sz w:val="19"/>
              </w:rPr>
              <w:t>1 October 2000–31 March 2001</w:t>
            </w:r>
          </w:p>
        </w:tc>
      </w:tr>
      <w:tr>
        <w:trPr>
          <w:cantSplit/>
        </w:trPr>
        <w:tc>
          <w:tcPr>
            <w:tcW w:type="dxa" w:w="1944"/>
            <w:vAlign w:val="center"/>
            <w:tcBorders>
              <w:top w:val="single" w:sz="5" w:color="D9D9D9"/>
              <w:left w:val="single" w:sz="5" w:color="D9D9D9"/>
              <w:bottom w:val="single" w:sz="5" w:color="D9D9D9"/>
              <w:right w:val="single" w:sz="5" w:color="D9D9D9"/>
            </w:tcBorders>
            <w:tcMar>
              <w:top w:w="75" w:type="dxa"/>
              <w:left w:w="75" w:type="dxa"/>
              <w:bottom w:w="75" w:type="dxa"/>
              <w:right w:w="75" w:type="dxa"/>
            </w:tcMar>
          </w:tcPr>
          <w:p>
            <w:pPr>
              <w:spacing w:after="60" w:before="60"/>
            </w:pPr>
            <w:r>
              <w:rPr>
                <w:b w:val="0"/>
                <w:sz w:val="19"/>
              </w:rPr>
              <w:t>Summer half-year and dry-spell window</w:t>
            </w:r>
          </w:p>
        </w:tc>
        <w:tc>
          <w:tcPr>
            <w:tcW w:type="dxa" w:w="3816"/>
            <w:vAlign w:val="center"/>
            <w:tcBorders>
              <w:top w:val="single" w:sz="5" w:color="D9D9D9"/>
              <w:left w:val="single" w:sz="5" w:color="D9D9D9"/>
              <w:bottom w:val="single" w:sz="5" w:color="D9D9D9"/>
              <w:right w:val="single" w:sz="5" w:color="D9D9D9"/>
            </w:tcBorders>
            <w:tcMar>
              <w:top w:w="75" w:type="dxa"/>
              <w:left w:w="75" w:type="dxa"/>
              <w:bottom w:w="75" w:type="dxa"/>
              <w:right w:w="75" w:type="dxa"/>
            </w:tcMar>
          </w:tcPr>
          <w:p>
            <w:pPr>
              <w:spacing w:after="60" w:before="60"/>
            </w:pPr>
            <w:r>
              <w:rPr>
                <w:b w:val="0"/>
                <w:sz w:val="19"/>
              </w:rPr>
              <w:t>1 April–30 September of t − 1</w:t>
            </w:r>
          </w:p>
        </w:tc>
        <w:tc>
          <w:tcPr>
            <w:tcW w:type="dxa" w:w="3744"/>
            <w:vAlign w:val="center"/>
            <w:tcBorders>
              <w:top w:val="single" w:sz="5" w:color="D9D9D9"/>
              <w:left w:val="single" w:sz="5" w:color="D9D9D9"/>
              <w:bottom w:val="single" w:sz="5" w:color="D9D9D9"/>
              <w:right w:val="single" w:sz="5" w:color="D9D9D9"/>
            </w:tcBorders>
            <w:tcMar>
              <w:top w:w="75" w:type="dxa"/>
              <w:left w:w="75" w:type="dxa"/>
              <w:bottom w:w="75" w:type="dxa"/>
              <w:right w:w="75" w:type="dxa"/>
            </w:tcMar>
          </w:tcPr>
          <w:p>
            <w:pPr>
              <w:spacing w:after="60" w:before="60"/>
            </w:pPr>
            <w:r>
              <w:rPr>
                <w:b w:val="0"/>
                <w:sz w:val="19"/>
              </w:rPr>
              <w:t>1 April–30 September 2001</w:t>
            </w:r>
          </w:p>
        </w:tc>
      </w:tr>
    </w:tbl>
    <w:p>
      <w:pPr>
        <w:pStyle w:val="Caption"/>
      </w:pPr>
      <w:r>
        <w:t>All boundaries are inclusive. Winter length follows the actual calendar, including 29 February in leap growth years. A calendar-year winter made from January, February and December of the same year would mix winters on either side of the growth season; the code instead constructs continuous date ranges from daily records.</w:t>
      </w:r>
    </w:p>
    <w:p>
      <w:r>
        <w:t>The current eight hypotheses use spring rainfall, temperature, sunshine and frost; summer rainfall, temperature and sunshine; and the April–September dry spell. Autumn, previous winter and winter-half-year variables are prepared for context but are not tested in the current eight-model comparison. April–September defines the dry-spell search interval; it does not replace June–August as the summer window. A combined previous-winter-plus-summer model and a calendar-year annual model are not part of the present analysis.</w:t>
      </w:r>
    </w:p>
    <w:p>
      <w:pPr>
        <w:pStyle w:val="Heading1"/>
        <w:pageBreakBefore/>
      </w:pPr>
      <w:r>
        <w:t>Daily aggregation and Methods wording</w:t>
      </w:r>
    </w:p>
    <w:p>
      <w:r>
        <w:t>Rainfall (mm) and sunshine (hours) are daily sums within each window. Temperature is the mean of daily mean-air-temperature values, not an unweighted average of monthly means; summer has 92 days. Spring frost counts use daily minimum air or grass temperature below 0 °C. The dry spell is the longest run of days with rainfall &lt;1 mm within April–September.</w:t>
      </w:r>
    </w:p>
    <w:p>
      <w:r>
        <w:t>Every expected date and required daily value must be available. Completeness is checked on the prepared daily series; these analyses introduce no further gap-filling. The eight hypotheses use 24 identical complete-weather years. The reporting summer model uses all 26 years with complete June–August rainfall and temperature.</w:t>
      </w:r>
    </w:p>
    <w:p>
      <w:r>
        <w:t>Measurement gaps do not change the offset. PAIC measured in 2001 averages the stock change since 1998 over three years, representing growth years 1998–2000. Weather still describes 2000, including June–August 2000 for summer; it is not averaged across the three growth years. Annualisation cannot recover growth within missing years. The final 2023 observation similarly uses summer 2022, not summer 2023.</w:t>
      </w:r>
    </w:p>
    <w:p>
      <w:pPr>
        <w:pStyle w:val="Heading2"/>
      </w:pPr>
      <w:r>
        <w:t>Suggested Methods paragraph</w:t>
      </w:r>
    </w:p>
    <w:p>
      <w:r>
        <w:t>Periodic annual carbon increment (PAIC) was assigned to the year of the later DBH measurement and annualised over the number of years since the preceding available measurement. Weather predictors were aligned with the preceding growth year (g = t − 1, where t denotes measurement year), consistent with dormant-season measurements recording growth completed in the preceding growing season. Spring predictors were summarised from 1 March to 31 May and summer predictors from 1 June to 31 August of g. Seasonal rainfall and sunshine were summed from daily records, and air temperature was averaged over daily mean values. Spring frost counts used daily minimum air or grass temperature below 0 °C; longest dry spell was calculated over 1 April–30 September of g using a daily rainfall threshold of &lt;1 mm. Only complete daily windows were used. For multi-year measurement intervals, PAIC remained annualised over the full interval but was paired with weather from the final growth year, because the timing of growth within unmeasured years was unknown.</w:t>
      </w:r>
    </w:p>
    <w:p>
      <w:pPr>
        <w:pStyle w:val="Heading2"/>
      </w:pPr>
      <w:r>
        <w:t>Timing qualification and source trail</w:t>
      </w:r>
    </w:p>
    <w:p>
      <w:r>
        <w:t>The earlier co-author comment identifies March measurements and assumes earlier observers followed that practice; the thesis describes November–March. The tree table contains year labels, not individual visit dates. The code applies t − 1 consistently rather than correcting individual November or March visits. Describe this adopted convention without claiming that every historical visit date was individually verified.</w:t>
      </w:r>
    </w:p>
    <w:p>
      <w:pPr>
        <w:pStyle w:val="Caption"/>
      </w:pPr>
      <w:r>
        <w:t>Verified sources: scripts/config.R; scripts/prep/01_tree_growth.R and 02_weather.R; analysis/10_weather_departure_screen.R and 17_weather_hypothesis_models.R. The 2002 windows and daily summer aggregation were checked directly; dates are recorded in results/checks/weather_timing_methods_audit.csv. The earlier discussion and co-author example are in “Jyoti Code Walkthrough Thesis Analysis” (https://chatgpt.com/c/6a1ebf0c-89a8-8391-abab-ad1e97d666a1).</w:t>
      </w:r>
    </w:p>
    <w:p>
      <w:pPr>
        <w:pStyle w:val="Heading1"/>
        <w:pageBreakBefore/>
      </w:pPr>
      <w:r>
        <w:t>Comparing the weather hypotheses</w:t>
      </w:r>
    </w:p>
    <w:p>
      <w:pPr>
        <w:keepNext/>
        <w:jc w:val="center"/>
      </w:pPr>
      <w:r>
        <w:drawing>
          <wp:inline xmlns:a="http://schemas.openxmlformats.org/drawingml/2006/main" xmlns:pic="http://schemas.openxmlformats.org/drawingml/2006/picture">
            <wp:extent cx="6035040" cy="4023360"/>
            <wp:docPr id="4" name="Picture 4"/>
            <wp:cNvGraphicFramePr>
              <a:graphicFrameLocks noChangeAspect="1"/>
            </wp:cNvGraphicFramePr>
            <a:graphic>
              <a:graphicData uri="http://schemas.openxmlformats.org/drawingml/2006/picture">
                <pic:pic>
                  <pic:nvPicPr>
                    <pic:cNvPr id="0" name="image.png"/>
                    <pic:cNvPicPr/>
                  </pic:nvPicPr>
                  <pic:blipFill>
                    <a:blip r:embed="rId23"/>
                    <a:stretch>
                      <a:fillRect/>
                    </a:stretch>
                  </pic:blipFill>
                  <pic:spPr>
                    <a:xfrm>
                      <a:off x="0" y="0"/>
                      <a:ext cx="6035040" cy="4023360"/>
                    </a:xfrm>
                    <a:prstGeom prst="rect"/>
                  </pic:spPr>
                </pic:pic>
              </a:graphicData>
            </a:graphic>
          </wp:inline>
        </w:drawing>
      </w:r>
    </w:p>
    <w:p>
      <w:pPr>
        <w:pStyle w:val="Caption"/>
      </w:pPr>
      <w:r>
        <w:t>Figure 1. Eight hypothesis models fitted on the same 24 years for each hybrid, with a Gamma log link and linear and squared age. Weather terms are named in the rows. Values are AICc minus the lowest AICc within each hybrid: zero marks the top candidate; lower values indicate more support after penalising complexity. Rankings are exploratory under remaining temporal dependence and prior examination of these data.</w:t>
      </w:r>
    </w:p>
    <w:p>
      <w:r>
        <w:t>We compared the same eight models separately for each hybrid, as defined by the rows in Figure 1. Spring and summer conditions combine rainfall and temperature; other weather models add one sunshine, dry-spell or frost predictor. Every model retains quadratic age. All nine weather candidates enter this comparison; correlations do not filter their inclusion.</w:t>
      </w:r>
    </w:p>
    <w:p>
      <w:r>
        <w:t>Summer conditions ranked first for every hybrid. Age alone ranked second, with AICc differences of 5.98 for Beaupre, 2.30 for Gibecq, 5.85 for Robusta and 2.13 for Trichobel. Support is clearer for Beaupre and Robusta. The other weather hypotheses have differences of at least 4.67; this does not exclude environmental influences absent from the candidate set.</w:t>
      </w:r>
    </w:p>
    <w:p>
      <w:pPr>
        <w:pStyle w:val="Heading1"/>
      </w:pPr>
      <w:r>
        <w:t>How the hypotheses were compared</w:t>
      </w:r>
    </w:p>
    <w:p>
      <w:r>
        <w:t>AICc balances likelihood against the number of parameters, including Gamma dispersion. Every model uses identical responses and years. Measurement years 2001 and 2019 are excluded because of incomplete spring temperature or ground-frost records. The selected summer model then uses all 26 eligible summer years for the association plot; Figure 1 always compares 24 years.</w:t>
      </w:r>
    </w:p>
    <w:p>
      <w:r>
        <w:t>We also omitted each of the 24 years in turn and refitted all candidates. Summer remained first in 24/24 fits for Beaupre and Robusta, 23/24 for Gibecq and 22/24 for Trichobel. These are influence checks, not independent validation. Earlier data exploration informed the hypotheses; association intervals remain conditional on the selected summer model.</w:t>
      </w:r>
    </w:p>
    <w:p>
      <w:pPr>
        <w:pStyle w:val="Heading1"/>
        <w:pageBreakBefore/>
      </w:pPr>
      <w:r>
        <w:t>Statistical approach</w:t>
      </w:r>
    </w:p>
    <w:p>
      <w:pPr>
        <w:pStyle w:val="Heading1"/>
      </w:pPr>
      <w:r>
        <w:t>Allowing for stand development over time</w:t>
      </w:r>
    </w:p>
    <w:p>
      <w:r>
        <w:t>Original positive hybrid medians are fitted with a Gamma generalised linear model and a log link. This allows variability to increase with the fitted mean and keeps fitted PAIC positive. PAIC is not transformed, standardised or detrended before fitting. Each hybrid has its own intercept, weather slopes, age trajectory and dispersion estimate.</w:t>
      </w:r>
    </w:p>
    <w:p>
      <w:r>
        <w:t>For hybrid h and measurement year t, the combined-weather model is:</w:t>
      </w:r>
    </w:p>
    <w:p>
      <w:r>
        <w:t>PAICₕₜ ~ Gamma with mean μₕₜ</w:t>
        <w:br/>
        <w:t>log(μₕₜ) = αₕ + βT,ₕ Tₜ + βR,ₕ Rₜ + γ₁,ₕ Aₜ + γ₂,ₕ Aₜ²</w:t>
      </w:r>
    </w:p>
    <w:p>
      <w:r>
        <w:t>T = summer mean temperature − 16 °C; R = (summer rainfall − 200 mm)/100; A = (age in years − 15)/10. Centring improves numerical stability. Both age and age squared are retained together; the squared term allows a curved trajectory on the log-mean scale, including a possible growth peak and subsequent decline.</w:t>
      </w:r>
    </w:p>
    <w:p>
      <w:r>
        <w:t>The age terms allow for PAIC changes associated with stand development over time, which can coincide with changing weather. This reduces the risk that the weather terms absorb the entire long-term growth pattern. All trees were planted together, but hybrids may have different growth trajectories. Age is a proxy for these temporal processes: it does not independently identify ageing or fully remove confounding by calendar year, management or stand conditions.</w:t>
      </w:r>
    </w:p>
    <w:p>
      <w:r>
        <w:t>The same quadratic age specification is used in all eight hypothesis models (32 fits on the common 24 years). The combined summer-weather model ranks first in each hybrid and supplies the final associations. Its existing 26-year fit is retained after verifying that its PAIC and common-year summer weather inputs match the current data. The 26-year coefficient intervals describe that fitted model and do not include model-selection uncertainty; they are not model-averaged estimates.</w:t>
      </w:r>
    </w:p>
    <w:p>
      <w:pPr>
        <w:pStyle w:val="Heading1"/>
      </w:pPr>
      <w:r>
        <w:t>Absolute weather contrasts</w:t>
      </w:r>
    </w:p>
    <w:p>
      <w:r>
        <w:t>Temperature is contrasted from 15.31 to 16.31 °C, holding rainfall at 172.44 mm. Rainfall is contrasted from 122.44 to 222.44 mm, holding temperature at 15.81 °C. These contrasts are centred on observed means. Predictions are averaged equally over the same 26 observed ages. Each effect is the higher-weather prediction minus the lower-weather prediction, in Mg C ha⁻¹ yr⁻¹. It describes an absolute association at comparable modelled ages, not the change from the first to the final study year.</w:t>
      </w:r>
    </w:p>
    <w:p>
      <w:pPr>
        <w:pStyle w:val="Heading1"/>
      </w:pPr>
      <w:r>
        <w:t>What the dots and whiskers mean</w:t>
      </w:r>
    </w:p>
    <w:p>
      <w:r>
        <w:t>Dots are estimated mean PAIC differences for the stated weather contrasts. Whiskers show uncertainty in those estimates. We generated 1,000 alternative datasets by resampling blocks of three successive observed visits. All four hybrids and their weather move together. We refit the four hybrid models and recalculate the contrasts for each resample. The middle 95% of these values gives a pointwise percentile interval.</w:t>
      </w:r>
    </w:p>
    <w:p>
      <w:r>
        <w:t>Hybrid differences are calculated directly within each resample, preserving their pairing. A wider whisker means the mean association is less precisely estimated; it does not measure year-to-year variability in physiological sensitivity. The models do not estimate separate weather slopes for individual years. Blocks wrap across the record ends and cover three visits, not necessarily three calendar years. Intervals are exploratory, not simultaneous, and omit variable-selection, allometric and weather measurement uncertainty.</w:t>
      </w:r>
    </w:p>
    <w:p>
      <w:pPr>
        <w:pStyle w:val="Heading1"/>
        <w:pageBreakBefore/>
      </w:pPr>
      <w:r>
        <w:t>Calculated weather associations by hybrid</w:t>
      </w:r>
    </w:p>
    <w:p>
      <w:pPr>
        <w:keepNext/>
        <w:jc w:val="center"/>
      </w:pPr>
      <w:r>
        <w:drawing>
          <wp:inline xmlns:a="http://schemas.openxmlformats.org/drawingml/2006/main" xmlns:pic="http://schemas.openxmlformats.org/drawingml/2006/picture">
            <wp:extent cx="6035040" cy="3218688"/>
            <wp:docPr id="2" name="Picture 2" descr="Figure 2. Separate Gamma models with a log link include linear and squared age, June to August rainfall and June to August mean temperature for each hybrid, using 26 measurement years. Rainfall is contrasted from 122.44 to 222.44 mm while temperature is held at 15.81 degrees C; temperature is contrasted from 15.31 to 16.31 degrees C while rainfall is held at 172.44 mm. Differences are averaged equally over the same 26 observed ages and expressed in Mg C per hectare per year. Whiskers are pointwise 95% intervals from 1,000 paired circular three-visit block-bootstrap resamples; they describe uncertainty in mean associations, not annual variability. The dashed vertical line marks zero association. Weather is aligned to the preceding growth year, including annualised multi-year growth intervals."/>
            <wp:cNvGraphicFramePr>
              <a:graphicFrameLocks noChangeAspect="1"/>
            </wp:cNvGraphicFramePr>
            <a:graphic>
              <a:graphicData uri="http://schemas.openxmlformats.org/drawingml/2006/picture">
                <pic:pic>
                  <pic:nvPicPr>
                    <pic:cNvPr id="0" name="image.png"/>
                    <pic:cNvPicPr/>
                  </pic:nvPicPr>
                  <pic:blipFill>
                    <a:blip r:embed="rId21"/>
                    <a:stretch>
                      <a:fillRect/>
                    </a:stretch>
                  </pic:blipFill>
                  <pic:spPr>
                    <a:xfrm>
                      <a:off x="0" y="0"/>
                      <a:ext cx="6035040" cy="3218688"/>
                    </a:xfrm>
                    <a:prstGeom prst="rect"/>
                  </pic:spPr>
                </pic:pic>
              </a:graphicData>
            </a:graphic>
          </wp:inline>
        </w:drawing>
      </w:r>
    </w:p>
    <w:p>
      <w:pPr>
        <w:pStyle w:val="Caption"/>
      </w:pPr>
      <w:r>
        <w:t>Figure 2. Separate Gamma models with a log link include linear and squared age, June to August rainfall and June to August mean temperature for each hybrid, using 26 measurement years. Rainfall is contrasted from 122.44 to 222.44 mm while temperature is held at 15.81 degrees C; temperature is contrasted from 15.31 to 16.31 degrees C while rainfall is held at 172.44 mm. Differences are averaged equally over the same 26 observed ages and expressed in Mg C per hectare per year. Whiskers are pointwise 95% intervals from 1,000 paired circular three-visit block-bootstrap resamples; they describe uncertainty in mean associations, not annual variability. The dashed vertical line marks zero association. Weather is aligned to the preceding growth year, including annualised multi-year growth intervals.</w:t>
      </w:r>
    </w:p>
    <w:tbl>
      <w:tblPr>
        <w:tblW w:type="auto" w:w="0"/>
        <w:jc w:val="center"/>
        <w:tblLayout w:type="fixed"/>
        <w:tblLook w:firstColumn="1" w:firstRow="1" w:lastColumn="0" w:lastRow="0" w:noHBand="0" w:noVBand="1" w:val="04A0"/>
      </w:tblPr>
      <w:tblGrid>
        <w:gridCol w:w="1800"/>
        <w:gridCol w:w="3816"/>
        <w:gridCol w:w="3888"/>
      </w:tblGrid>
      <w:tr>
        <w:trPr>
          <w:cantSplit/>
          <w:tblHeader/>
        </w:trPr>
        <w:tc>
          <w:tcPr>
            <w:tcW w:type="dxa" w:w="1800"/>
            <w:vAlign w:val="center"/>
            <w:tcBorders>
              <w:top w:val="single" w:sz="5" w:color="D9D9D9"/>
              <w:left w:val="single" w:sz="5" w:color="D9D9D9"/>
              <w:bottom w:val="single" w:sz="5" w:color="D9D9D9"/>
              <w:right w:val="single" w:sz="5" w:color="D9D9D9"/>
            </w:tcBorders>
            <w:shd w:fill="E7EDF2"/>
            <w:tcMar>
              <w:top w:w="75" w:type="dxa"/>
              <w:left w:w="75" w:type="dxa"/>
              <w:bottom w:w="75" w:type="dxa"/>
              <w:right w:w="75" w:type="dxa"/>
            </w:tcMar>
          </w:tcPr>
          <w:p>
            <w:pPr>
              <w:spacing w:before="40" w:after="40"/>
            </w:pPr>
            <w:r>
              <w:rPr>
                <w:b/>
                <w:sz w:val="19"/>
              </w:rPr>
              <w:t>Hybrid</w:t>
            </w:r>
          </w:p>
        </w:tc>
        <w:tc>
          <w:tcPr>
            <w:tcW w:type="dxa" w:w="3816"/>
            <w:vAlign w:val="center"/>
            <w:tcBorders>
              <w:top w:val="single" w:sz="5" w:color="D9D9D9"/>
              <w:left w:val="single" w:sz="5" w:color="D9D9D9"/>
              <w:bottom w:val="single" w:sz="5" w:color="D9D9D9"/>
              <w:right w:val="single" w:sz="5" w:color="D9D9D9"/>
            </w:tcBorders>
            <w:shd w:fill="E7EDF2"/>
            <w:tcMar>
              <w:top w:w="75" w:type="dxa"/>
              <w:left w:w="75" w:type="dxa"/>
              <w:bottom w:w="75" w:type="dxa"/>
              <w:right w:w="75" w:type="dxa"/>
            </w:tcMar>
          </w:tcPr>
          <w:p>
            <w:pPr>
              <w:spacing w:before="40" w:after="40"/>
              <w:jc w:val="center"/>
            </w:pPr>
            <w:r>
              <w:rPr>
                <w:b/>
                <w:sz w:val="19"/>
              </w:rPr>
              <w:t>100 mm more rainfall</w:t>
            </w:r>
          </w:p>
        </w:tc>
        <w:tc>
          <w:tcPr>
            <w:tcW w:type="dxa" w:w="3888"/>
            <w:vAlign w:val="center"/>
            <w:tcBorders>
              <w:top w:val="single" w:sz="5" w:color="D9D9D9"/>
              <w:left w:val="single" w:sz="5" w:color="D9D9D9"/>
              <w:bottom w:val="single" w:sz="5" w:color="D9D9D9"/>
              <w:right w:val="single" w:sz="5" w:color="D9D9D9"/>
            </w:tcBorders>
            <w:shd w:fill="E7EDF2"/>
            <w:tcMar>
              <w:top w:w="75" w:type="dxa"/>
              <w:left w:w="75" w:type="dxa"/>
              <w:bottom w:w="75" w:type="dxa"/>
              <w:right w:w="75" w:type="dxa"/>
            </w:tcMar>
          </w:tcPr>
          <w:p>
            <w:pPr>
              <w:spacing w:before="40" w:after="40"/>
              <w:jc w:val="center"/>
            </w:pPr>
            <w:r>
              <w:rPr>
                <w:b/>
                <w:sz w:val="19"/>
              </w:rPr>
              <w:t>1 °C higher temperature</w:t>
            </w:r>
          </w:p>
        </w:tc>
      </w:tr>
      <w:tr>
        <w:trPr>
          <w:cantSplit/>
        </w:trPr>
        <w:tc>
          <w:tcPr>
            <w:tcW w:type="dxa" w:w="1800"/>
            <w:vAlign w:val="center"/>
            <w:tcBorders>
              <w:top w:val="single" w:sz="5" w:color="D9D9D9"/>
              <w:left w:val="single" w:sz="5" w:color="D9D9D9"/>
              <w:bottom w:val="single" w:sz="5" w:color="D9D9D9"/>
              <w:right w:val="single" w:sz="5" w:color="D9D9D9"/>
            </w:tcBorders>
            <w:shd w:fill="FFFFFF"/>
            <w:tcMar>
              <w:top w:w="75" w:type="dxa"/>
              <w:left w:w="75" w:type="dxa"/>
              <w:bottom w:w="75" w:type="dxa"/>
              <w:right w:w="75" w:type="dxa"/>
            </w:tcMar>
          </w:tcPr>
          <w:p>
            <w:pPr>
              <w:spacing w:before="40" w:after="40"/>
            </w:pPr>
            <w:r>
              <w:rPr>
                <w:b w:val="0"/>
                <w:sz w:val="19"/>
              </w:rPr>
              <w:t>Beaupre</w:t>
            </w:r>
          </w:p>
        </w:tc>
        <w:tc>
          <w:tcPr>
            <w:tcW w:type="dxa" w:w="3816"/>
            <w:vAlign w:val="center"/>
            <w:tcBorders>
              <w:top w:val="single" w:sz="5" w:color="D9D9D9"/>
              <w:left w:val="single" w:sz="5" w:color="D9D9D9"/>
              <w:bottom w:val="single" w:sz="5" w:color="D9D9D9"/>
              <w:right w:val="single" w:sz="5" w:color="D9D9D9"/>
            </w:tcBorders>
            <w:shd w:fill="FFFFFF"/>
            <w:tcMar>
              <w:top w:w="75" w:type="dxa"/>
              <w:left w:w="75" w:type="dxa"/>
              <w:bottom w:w="75" w:type="dxa"/>
              <w:right w:w="75" w:type="dxa"/>
            </w:tcMar>
          </w:tcPr>
          <w:p>
            <w:pPr>
              <w:spacing w:before="40" w:after="40"/>
              <w:jc w:val="center"/>
            </w:pPr>
            <w:r>
              <w:rPr>
                <w:b w:val="0"/>
                <w:sz w:val="19"/>
              </w:rPr>
              <w:t>0.69 (0.35, 1.19)</w:t>
            </w:r>
          </w:p>
        </w:tc>
        <w:tc>
          <w:tcPr>
            <w:tcW w:type="dxa" w:w="3888"/>
            <w:vAlign w:val="center"/>
            <w:tcBorders>
              <w:top w:val="single" w:sz="5" w:color="D9D9D9"/>
              <w:left w:val="single" w:sz="5" w:color="D9D9D9"/>
              <w:bottom w:val="single" w:sz="5" w:color="D9D9D9"/>
              <w:right w:val="single" w:sz="5" w:color="D9D9D9"/>
            </w:tcBorders>
            <w:shd w:fill="FFFFFF"/>
            <w:tcMar>
              <w:top w:w="75" w:type="dxa"/>
              <w:left w:w="75" w:type="dxa"/>
              <w:bottom w:w="75" w:type="dxa"/>
              <w:right w:w="75" w:type="dxa"/>
            </w:tcMar>
          </w:tcPr>
          <w:p>
            <w:pPr>
              <w:spacing w:before="40" w:after="40"/>
              <w:jc w:val="center"/>
            </w:pPr>
            <w:r>
              <w:rPr>
                <w:b w:val="0"/>
                <w:sz w:val="19"/>
              </w:rPr>
              <w:t>0.44 (0.11, 0.92)</w:t>
            </w:r>
          </w:p>
        </w:tc>
      </w:tr>
      <w:tr>
        <w:trPr>
          <w:cantSplit/>
        </w:trPr>
        <w:tc>
          <w:tcPr>
            <w:tcW w:type="dxa" w:w="1800"/>
            <w:vAlign w:val="center"/>
            <w:tcBorders>
              <w:top w:val="single" w:sz="5" w:color="D9D9D9"/>
              <w:left w:val="single" w:sz="5" w:color="D9D9D9"/>
              <w:bottom w:val="single" w:sz="5" w:color="D9D9D9"/>
              <w:right w:val="single" w:sz="5" w:color="D9D9D9"/>
            </w:tcBorders>
            <w:shd w:fill="FFFFFF"/>
            <w:tcMar>
              <w:top w:w="75" w:type="dxa"/>
              <w:left w:w="75" w:type="dxa"/>
              <w:bottom w:w="75" w:type="dxa"/>
              <w:right w:w="75" w:type="dxa"/>
            </w:tcMar>
          </w:tcPr>
          <w:p>
            <w:pPr>
              <w:spacing w:before="40" w:after="40"/>
            </w:pPr>
            <w:r>
              <w:rPr>
                <w:b w:val="0"/>
                <w:sz w:val="19"/>
              </w:rPr>
              <w:t>Gibecq</w:t>
            </w:r>
          </w:p>
        </w:tc>
        <w:tc>
          <w:tcPr>
            <w:tcW w:type="dxa" w:w="3816"/>
            <w:vAlign w:val="center"/>
            <w:tcBorders>
              <w:top w:val="single" w:sz="5" w:color="D9D9D9"/>
              <w:left w:val="single" w:sz="5" w:color="D9D9D9"/>
              <w:bottom w:val="single" w:sz="5" w:color="D9D9D9"/>
              <w:right w:val="single" w:sz="5" w:color="D9D9D9"/>
            </w:tcBorders>
            <w:shd w:fill="FFFFFF"/>
            <w:tcMar>
              <w:top w:w="75" w:type="dxa"/>
              <w:left w:w="75" w:type="dxa"/>
              <w:bottom w:w="75" w:type="dxa"/>
              <w:right w:w="75" w:type="dxa"/>
            </w:tcMar>
          </w:tcPr>
          <w:p>
            <w:pPr>
              <w:spacing w:before="40" w:after="40"/>
              <w:jc w:val="center"/>
            </w:pPr>
            <w:r>
              <w:rPr>
                <w:b w:val="0"/>
                <w:sz w:val="19"/>
              </w:rPr>
              <w:t>0.66 (0.28, 1.40)</w:t>
            </w:r>
          </w:p>
        </w:tc>
        <w:tc>
          <w:tcPr>
            <w:tcW w:type="dxa" w:w="3888"/>
            <w:vAlign w:val="center"/>
            <w:tcBorders>
              <w:top w:val="single" w:sz="5" w:color="D9D9D9"/>
              <w:left w:val="single" w:sz="5" w:color="D9D9D9"/>
              <w:bottom w:val="single" w:sz="5" w:color="D9D9D9"/>
              <w:right w:val="single" w:sz="5" w:color="D9D9D9"/>
            </w:tcBorders>
            <w:shd w:fill="FFFFFF"/>
            <w:tcMar>
              <w:top w:w="75" w:type="dxa"/>
              <w:left w:w="75" w:type="dxa"/>
              <w:bottom w:w="75" w:type="dxa"/>
              <w:right w:w="75" w:type="dxa"/>
            </w:tcMar>
          </w:tcPr>
          <w:p>
            <w:pPr>
              <w:spacing w:before="40" w:after="40"/>
              <w:jc w:val="center"/>
            </w:pPr>
            <w:r>
              <w:rPr>
                <w:b w:val="0"/>
                <w:sz w:val="19"/>
              </w:rPr>
              <w:t>0.39 (0.03, 1.12)</w:t>
            </w:r>
          </w:p>
        </w:tc>
      </w:tr>
      <w:tr>
        <w:trPr>
          <w:cantSplit/>
        </w:trPr>
        <w:tc>
          <w:tcPr>
            <w:tcW w:type="dxa" w:w="1800"/>
            <w:vAlign w:val="center"/>
            <w:tcBorders>
              <w:top w:val="single" w:sz="5" w:color="D9D9D9"/>
              <w:left w:val="single" w:sz="5" w:color="D9D9D9"/>
              <w:bottom w:val="single" w:sz="5" w:color="D9D9D9"/>
              <w:right w:val="single" w:sz="5" w:color="D9D9D9"/>
            </w:tcBorders>
            <w:shd w:fill="FFFFFF"/>
            <w:tcMar>
              <w:top w:w="75" w:type="dxa"/>
              <w:left w:w="75" w:type="dxa"/>
              <w:bottom w:w="75" w:type="dxa"/>
              <w:right w:w="75" w:type="dxa"/>
            </w:tcMar>
          </w:tcPr>
          <w:p>
            <w:pPr>
              <w:spacing w:before="40" w:after="40"/>
            </w:pPr>
            <w:r>
              <w:rPr>
                <w:b w:val="0"/>
                <w:sz w:val="19"/>
              </w:rPr>
              <w:t>Robusta</w:t>
            </w:r>
          </w:p>
        </w:tc>
        <w:tc>
          <w:tcPr>
            <w:tcW w:type="dxa" w:w="3816"/>
            <w:vAlign w:val="center"/>
            <w:tcBorders>
              <w:top w:val="single" w:sz="5" w:color="D9D9D9"/>
              <w:left w:val="single" w:sz="5" w:color="D9D9D9"/>
              <w:bottom w:val="single" w:sz="5" w:color="D9D9D9"/>
              <w:right w:val="single" w:sz="5" w:color="D9D9D9"/>
            </w:tcBorders>
            <w:shd w:fill="FFFFFF"/>
            <w:tcMar>
              <w:top w:w="75" w:type="dxa"/>
              <w:left w:w="75" w:type="dxa"/>
              <w:bottom w:w="75" w:type="dxa"/>
              <w:right w:w="75" w:type="dxa"/>
            </w:tcMar>
          </w:tcPr>
          <w:p>
            <w:pPr>
              <w:spacing w:before="40" w:after="40"/>
              <w:jc w:val="center"/>
            </w:pPr>
            <w:r>
              <w:rPr>
                <w:b w:val="0"/>
                <w:sz w:val="19"/>
              </w:rPr>
              <w:t>0.56 (0.29, 0.81)</w:t>
            </w:r>
          </w:p>
        </w:tc>
        <w:tc>
          <w:tcPr>
            <w:tcW w:type="dxa" w:w="3888"/>
            <w:vAlign w:val="center"/>
            <w:tcBorders>
              <w:top w:val="single" w:sz="5" w:color="D9D9D9"/>
              <w:left w:val="single" w:sz="5" w:color="D9D9D9"/>
              <w:bottom w:val="single" w:sz="5" w:color="D9D9D9"/>
              <w:right w:val="single" w:sz="5" w:color="D9D9D9"/>
            </w:tcBorders>
            <w:shd w:fill="FFFFFF"/>
            <w:tcMar>
              <w:top w:w="75" w:type="dxa"/>
              <w:left w:w="75" w:type="dxa"/>
              <w:bottom w:w="75" w:type="dxa"/>
              <w:right w:w="75" w:type="dxa"/>
            </w:tcMar>
          </w:tcPr>
          <w:p>
            <w:pPr>
              <w:spacing w:before="40" w:after="40"/>
              <w:jc w:val="center"/>
            </w:pPr>
            <w:r>
              <w:rPr>
                <w:b w:val="0"/>
                <w:sz w:val="19"/>
              </w:rPr>
              <w:t>0.53 (0.18, 1.02)</w:t>
            </w:r>
          </w:p>
        </w:tc>
      </w:tr>
      <w:tr>
        <w:trPr>
          <w:cantSplit/>
        </w:trPr>
        <w:tc>
          <w:tcPr>
            <w:tcW w:type="dxa" w:w="1800"/>
            <w:vAlign w:val="center"/>
            <w:tcBorders>
              <w:top w:val="single" w:sz="5" w:color="D9D9D9"/>
              <w:left w:val="single" w:sz="5" w:color="D9D9D9"/>
              <w:bottom w:val="single" w:sz="5" w:color="D9D9D9"/>
              <w:right w:val="single" w:sz="5" w:color="D9D9D9"/>
            </w:tcBorders>
            <w:shd w:fill="FFFFFF"/>
            <w:tcMar>
              <w:top w:w="75" w:type="dxa"/>
              <w:left w:w="75" w:type="dxa"/>
              <w:bottom w:w="75" w:type="dxa"/>
              <w:right w:w="75" w:type="dxa"/>
            </w:tcMar>
          </w:tcPr>
          <w:p>
            <w:pPr>
              <w:spacing w:before="40" w:after="40"/>
            </w:pPr>
            <w:r>
              <w:rPr>
                <w:b w:val="0"/>
                <w:sz w:val="19"/>
              </w:rPr>
              <w:t>Trichobel</w:t>
            </w:r>
          </w:p>
        </w:tc>
        <w:tc>
          <w:tcPr>
            <w:tcW w:type="dxa" w:w="3816"/>
            <w:vAlign w:val="center"/>
            <w:tcBorders>
              <w:top w:val="single" w:sz="5" w:color="D9D9D9"/>
              <w:left w:val="single" w:sz="5" w:color="D9D9D9"/>
              <w:bottom w:val="single" w:sz="5" w:color="D9D9D9"/>
              <w:right w:val="single" w:sz="5" w:color="D9D9D9"/>
            </w:tcBorders>
            <w:shd w:fill="FFFFFF"/>
            <w:tcMar>
              <w:top w:w="75" w:type="dxa"/>
              <w:left w:w="75" w:type="dxa"/>
              <w:bottom w:w="75" w:type="dxa"/>
              <w:right w:w="75" w:type="dxa"/>
            </w:tcMar>
          </w:tcPr>
          <w:p>
            <w:pPr>
              <w:spacing w:before="40" w:after="40"/>
              <w:jc w:val="center"/>
            </w:pPr>
            <w:r>
              <w:rPr>
                <w:b w:val="0"/>
                <w:sz w:val="19"/>
              </w:rPr>
              <w:t>0.77 (0.26, 1.09)</w:t>
            </w:r>
          </w:p>
        </w:tc>
        <w:tc>
          <w:tcPr>
            <w:tcW w:type="dxa" w:w="3888"/>
            <w:vAlign w:val="center"/>
            <w:tcBorders>
              <w:top w:val="single" w:sz="5" w:color="D9D9D9"/>
              <w:left w:val="single" w:sz="5" w:color="D9D9D9"/>
              <w:bottom w:val="single" w:sz="5" w:color="D9D9D9"/>
              <w:right w:val="single" w:sz="5" w:color="D9D9D9"/>
            </w:tcBorders>
            <w:shd w:fill="FFFFFF"/>
            <w:tcMar>
              <w:top w:w="75" w:type="dxa"/>
              <w:left w:w="75" w:type="dxa"/>
              <w:bottom w:w="75" w:type="dxa"/>
              <w:right w:w="75" w:type="dxa"/>
            </w:tcMar>
          </w:tcPr>
          <w:p>
            <w:pPr>
              <w:spacing w:before="40" w:after="40"/>
              <w:jc w:val="center"/>
            </w:pPr>
            <w:r>
              <w:rPr>
                <w:b w:val="0"/>
                <w:sz w:val="19"/>
              </w:rPr>
              <w:t>0.58 (-0.07, 1.21)</w:t>
            </w:r>
          </w:p>
        </w:tc>
      </w:tr>
    </w:tbl>
    <w:p>
      <w:pPr>
        <w:spacing w:after="0"/>
      </w:pPr>
    </w:p>
    <w:p>
      <w:pPr>
        <w:pStyle w:val="Caption"/>
      </w:pPr>
      <w:r>
        <w:t>Table 1. Absolute mean PAIC differences (Mg C ha⁻¹ yr⁻¹) and pointwise 95% intervals from the combined-weather models. Contrasts are centred on mean weather and averaged over common observed ages. An interval extending below zero allows a negative association; fitted PAIC itself remains positive.</w:t>
      </w:r>
    </w:p>
    <w:p>
      <w:r>
        <w:t>Rainfall estimates are positive in all hybrids, and their intervals are above zero. Trichobel has the largest point estimate, 0.77 Mg C ha⁻¹ yr⁻¹ per 100 mm, followed by Beaupre (0.69), Gibecq (0.66) and Robusta (0.56). Direct paired comparisons do not clearly distinguish the hybrid effects: all their pointwise 95% intervals include zero.</w:t>
      </w:r>
    </w:p>
    <w:p>
      <w:r>
        <w:t>Temperature estimates are also positive. Trichobel has the largest point estimate, 0.58 Mg C ha⁻¹ yr⁻¹ per 1 °C, but its interval is broad and includes zero (−0.07 to 1.21). The other estimates are 0.44 for Beaupre, 0.39 for Gibecq and 0.53 for Robusta. None of the paired temperature differences between hybrids has an interval wholly above or below zero. The results therefore do not establish that Trichobel is either more or less temperature-sensitive than the others.</w:t>
      </w:r>
    </w:p>
    <w:p>
      <w:pPr>
        <w:pStyle w:val="Heading1"/>
        <w:pageBreakBefore/>
      </w:pPr>
      <w:r>
        <w:t>Discussion and limits of interpretation</w:t>
      </w:r>
    </w:p>
    <w:p>
      <w:pPr>
        <w:pStyle w:val="Heading1"/>
      </w:pPr>
      <w:r>
        <w:t>Possible biological explanation</w:t>
      </w:r>
    </w:p>
    <w:p>
      <w:r>
        <w:t>The hypothesis comparison supports summer conditions over the other weather hypotheses considered. Support relative to age alone is clearer for Beaupre and Robusta. The reporting models associate wetter summers with greater PAIC, compatible with a role for water availability. The grouped summer-model ranking does not establish that both weather variables are individually necessary in every hybrid.</w:t>
      </w:r>
    </w:p>
    <w:p>
      <w:r>
        <w:t>Trichobel has the largest estimated absolute association with both rainfall and temperature. However, its temperature association is less precisely estimated, and direct comparisons do not establish that its weather responses differ from those of the other hybrids. Appropriate wording is: “Trichobel showed the largest estimated absolute PAIC response to increased summer rainfall, although differences between hybrids were uncertain.” Avoid describing the whiskers as evidence that its response varied more between years.</w:t>
      </w:r>
    </w:p>
    <w:p>
      <w:r>
        <w:t>A larger absolute effect can partly reflect Trichobel’s higher baseline PAIC: with a log link, the same proportional association produces more additional carbon at a higher baseline. Absolute differences answer how much carbon increment differs; they do not establish greater physiological sensitivity or climate resistance. The proposed resilience mechanism remains a discussion hypothesis supported by biological expertise, not demonstrated by these models.</w:t>
      </w:r>
    </w:p>
    <w:p>
      <w:r>
        <w:t>A positive weather association can coexist with declining PAIC through time. Observed growth reflects the actual combination of weather, age, stand development and management. Quadratic age allows a curved background trajectory, but age and calendar year advance together in this single cohort. The age terms may absorb weather-related trends as well as unrelated development, so they do not fully separate those processes.</w:t>
      </w:r>
    </w:p>
    <w:p>
      <w:pPr>
        <w:pStyle w:val="Heading1"/>
      </w:pPr>
      <w:r>
        <w:t>Uncertainty and diagnostic caveats</w:t>
      </w:r>
    </w:p>
    <w:p>
      <w:r>
        <w:t>Weather refers to the growth year preceding measurement; annualisation cannot identify growth timing in missing years. AICc comparison uses 24 shared weather occasions, while final summer estimation uses 26. Reusing observations for selection and estimation makes the results exploratory rather than independent confirmation.</w:t>
      </w:r>
    </w:p>
    <w:p>
      <w:r>
        <w:t>In the 24-year summer models, consecutive-calendar-year residual correlations are approximately 0.50, 0.63, 0.38 and 0.02 for Beaupre, Gibecq, Robusta and Trichobel. AICc assumes independent errors, so these rankings remain approximate. The three-visit bootstrap accommodates some dependence, but its block length is not established as sufficient. AICc ranking alone does not validate the model.</w:t>
      </w:r>
    </w:p>
    <w:p>
      <w:r>
        <w:t>All 4,000 bootstrap model fits converged. Nevertheless, some resamples produced very large absolute effects when evaluated across the full reference age range. For affected hybrid–predictor combinations, 1–8 of 1,000 resamples exceeded an absolute difference of 10 Mg C ha⁻¹ yr⁻¹. These values were retained. The central percentile intervals are finite, but the tails indicate unstable extrapolation in some resamples and reinforce the exploratory interpretation. Individual-year omission results and tail checks are saved.</w:t>
      </w:r>
    </w:p>
    <w:p>
      <w:pPr>
        <w:pStyle w:val="Heading1"/>
      </w:pPr>
      <w:r>
        <w:t>Presentation in the paper</w:t>
      </w:r>
    </w:p>
    <w:p>
      <w:r>
        <w:t>Use Figure 1 to show the hypothesis comparison and Figure 2 for the conditional summer-weather associations. Explain that comparison uses 24 common years and the reporting summer models use all 26 eligible summer years. Figure S1 explains the fitted background age patterns at fixed weather; it is optional supporting material rather than a required main-paper result. Retain the age–time confounding, model-selection and temporal-dependence caveats.</w:t>
      </w:r>
    </w:p>
    <w:p>
      <w:pPr>
        <w:pStyle w:val="Heading1"/>
        <w:pageBreakBefore/>
      </w:pPr>
      <w:r>
        <w:t>Supplementary age trajectories and model fit</w:t>
      </w:r>
    </w:p>
    <w:p>
      <w:pPr>
        <w:keepNext/>
        <w:jc w:val="center"/>
      </w:pPr>
      <w:r>
        <w:drawing>
          <wp:inline xmlns:a="http://schemas.openxmlformats.org/drawingml/2006/main" xmlns:pic="http://schemas.openxmlformats.org/drawingml/2006/picture">
            <wp:extent cx="5329123" cy="3848811"/>
            <wp:docPr id="3" name="Picture 3" descr="Figure S1. The curves are Gamma log-link fitted means with hybrid-specific linear and squared age terms, holding June to August mean temperature at 15.81 degrees C and rainfall at 172.44 mm. Only the observed age range is shown. Uncertainty bands are omitted. These curves describe conditional fitted shapes, not observed trajectories or independently identified causal effects of age."/>
            <wp:cNvGraphicFramePr>
              <a:graphicFrameLocks noChangeAspect="1"/>
            </wp:cNvGraphicFramePr>
            <a:graphic>
              <a:graphicData uri="http://schemas.openxmlformats.org/drawingml/2006/picture">
                <pic:pic>
                  <pic:nvPicPr>
                    <pic:cNvPr id="0" name="image.png"/>
                    <pic:cNvPicPr/>
                  </pic:nvPicPr>
                  <pic:blipFill>
                    <a:blip r:embed="rId22"/>
                    <a:stretch>
                      <a:fillRect/>
                    </a:stretch>
                  </pic:blipFill>
                  <pic:spPr>
                    <a:xfrm>
                      <a:off x="0" y="0"/>
                      <a:ext cx="5329123" cy="3848811"/>
                    </a:xfrm>
                    <a:prstGeom prst="rect"/>
                  </pic:spPr>
                </pic:pic>
              </a:graphicData>
            </a:graphic>
          </wp:inline>
        </w:drawing>
      </w:r>
    </w:p>
    <w:p>
      <w:pPr>
        <w:pStyle w:val="Caption"/>
      </w:pPr>
      <w:r>
        <w:t>Figure S1. The curves are Gamma log-link fitted means with hybrid-specific linear and squared age terms, holding June to August mean temperature at 15.81 degrees C and rainfall at 172.44 mm. Only the observed age range is shown. Uncertainty bands are omitted. These curves describe conditional fitted shapes, not observed trajectories or independently identified causal effects of age.</w:t>
      </w:r>
    </w:p>
    <w:p>
      <w:r>
        <w:t>The curves show the smooth background PAIC pattern fitted over the study period after accounting for summer rainfall and temperature. To draw them, age varies across the observed range while rainfall and temperature are held at their study averages, so individual wet, dry, warm or cool years do not make the curves fluctuate.</w:t>
      </w:r>
    </w:p>
    <w:p>
      <w:r>
        <w:t>Beaupre shows a gradual decline. Gibecq is fairly flat initially, then declines. Robusta rises to a broad peak before declining. Trichobel rises more strongly, reaches a later peak, then declines. These are fitted background patterns, not separate forecasts.</w:t>
      </w:r>
    </w:p>
    <w:p>
      <w:r>
        <w:t>PAIC is annual carbon addition: declining PAIC means less carbon added per year, not necessarily a loss of accumulated carbon. Age also tracks calendar time, competition and management, so the curves do not isolate biological ageing. This plot is a working interpretation aid and is optional for the paper.</w:t>
      </w:r>
    </w:p>
    <w:tbl>
      <w:tblPr>
        <w:tblW w:type="auto" w:w="0"/>
        <w:jc w:val="center"/>
        <w:tblLayout w:type="fixed"/>
        <w:tblLook w:firstColumn="1" w:firstRow="1" w:lastColumn="0" w:lastRow="0" w:noHBand="0" w:noVBand="1" w:val="04A0"/>
      </w:tblPr>
      <w:tblGrid>
        <w:gridCol w:w="1584"/>
        <w:gridCol w:w="3168"/>
        <w:gridCol w:w="4752"/>
      </w:tblGrid>
      <w:tr>
        <w:trPr>
          <w:cantSplit/>
          <w:tblHeader/>
        </w:trPr>
        <w:tc>
          <w:tcPr>
            <w:tcW w:type="dxa" w:w="1584"/>
            <w:vAlign w:val="center"/>
            <w:tcBorders>
              <w:top w:val="single" w:sz="5" w:color="D9D9D9"/>
              <w:left w:val="single" w:sz="5" w:color="D9D9D9"/>
              <w:bottom w:val="single" w:sz="5" w:color="D9D9D9"/>
              <w:right w:val="single" w:sz="5" w:color="D9D9D9"/>
            </w:tcBorders>
            <w:shd w:fill="E7EDF2"/>
            <w:tcMar>
              <w:top w:w="75" w:type="dxa"/>
              <w:left w:w="75" w:type="dxa"/>
              <w:bottom w:w="75" w:type="dxa"/>
              <w:right w:w="75" w:type="dxa"/>
            </w:tcMar>
          </w:tcPr>
          <w:p>
            <w:pPr>
              <w:spacing w:before="40" w:after="40"/>
            </w:pPr>
            <w:r>
              <w:rPr>
                <w:b/>
                <w:sz w:val="19"/>
              </w:rPr>
              <w:t>Hybrid</w:t>
            </w:r>
          </w:p>
        </w:tc>
        <w:tc>
          <w:tcPr>
            <w:tcW w:type="dxa" w:w="3168"/>
            <w:vAlign w:val="center"/>
            <w:tcBorders>
              <w:top w:val="single" w:sz="5" w:color="D9D9D9"/>
              <w:left w:val="single" w:sz="5" w:color="D9D9D9"/>
              <w:bottom w:val="single" w:sz="5" w:color="D9D9D9"/>
              <w:right w:val="single" w:sz="5" w:color="D9D9D9"/>
            </w:tcBorders>
            <w:shd w:fill="E7EDF2"/>
            <w:tcMar>
              <w:top w:w="75" w:type="dxa"/>
              <w:left w:w="75" w:type="dxa"/>
              <w:bottom w:w="75" w:type="dxa"/>
              <w:right w:w="75" w:type="dxa"/>
            </w:tcMar>
          </w:tcPr>
          <w:p>
            <w:pPr>
              <w:spacing w:before="40" w:after="40"/>
              <w:jc w:val="center"/>
            </w:pPr>
            <w:r>
              <w:rPr>
                <w:b/>
                <w:sz w:val="19"/>
              </w:rPr>
              <w:t>Combined model</w:t>
              <w:br/>
              <w:t>pseudo R²</w:t>
            </w:r>
          </w:p>
        </w:tc>
        <w:tc>
          <w:tcPr>
            <w:tcW w:type="dxa" w:w="4752"/>
            <w:vAlign w:val="center"/>
            <w:tcBorders>
              <w:top w:val="single" w:sz="5" w:color="D9D9D9"/>
              <w:left w:val="single" w:sz="5" w:color="D9D9D9"/>
              <w:bottom w:val="single" w:sz="5" w:color="D9D9D9"/>
              <w:right w:val="single" w:sz="5" w:color="D9D9D9"/>
            </w:tcBorders>
            <w:shd w:fill="E7EDF2"/>
            <w:tcMar>
              <w:top w:w="75" w:type="dxa"/>
              <w:left w:w="75" w:type="dxa"/>
              <w:bottom w:w="75" w:type="dxa"/>
              <w:right w:w="75" w:type="dxa"/>
            </w:tcMar>
          </w:tcPr>
          <w:p>
            <w:pPr>
              <w:spacing w:before="40" w:after="40"/>
              <w:jc w:val="center"/>
            </w:pPr>
            <w:r>
              <w:rPr>
                <w:b/>
                <w:sz w:val="19"/>
              </w:rPr>
              <w:t>Weather deviance reduction</w:t>
              <w:br/>
              <w:t>against quadratic age alone</w:t>
            </w:r>
          </w:p>
        </w:tc>
      </w:tr>
      <w:tr>
        <w:trPr>
          <w:cantSplit/>
        </w:trPr>
        <w:tc>
          <w:tcPr>
            <w:tcW w:type="dxa" w:w="1584"/>
            <w:vAlign w:val="center"/>
            <w:tcBorders>
              <w:top w:val="single" w:sz="5" w:color="D9D9D9"/>
              <w:left w:val="single" w:sz="5" w:color="D9D9D9"/>
              <w:bottom w:val="single" w:sz="5" w:color="D9D9D9"/>
              <w:right w:val="single" w:sz="5" w:color="D9D9D9"/>
            </w:tcBorders>
            <w:shd w:fill="FFFFFF"/>
            <w:tcMar>
              <w:top w:w="75" w:type="dxa"/>
              <w:left w:w="75" w:type="dxa"/>
              <w:bottom w:w="75" w:type="dxa"/>
              <w:right w:w="75" w:type="dxa"/>
            </w:tcMar>
          </w:tcPr>
          <w:p>
            <w:pPr>
              <w:spacing w:before="40" w:after="40"/>
            </w:pPr>
            <w:r>
              <w:rPr>
                <w:b w:val="0"/>
                <w:sz w:val="19"/>
              </w:rPr>
              <w:t>Beaupre</w:t>
            </w:r>
          </w:p>
        </w:tc>
        <w:tc>
          <w:tcPr>
            <w:tcW w:type="dxa" w:w="3168"/>
            <w:vAlign w:val="center"/>
            <w:tcBorders>
              <w:top w:val="single" w:sz="5" w:color="D9D9D9"/>
              <w:left w:val="single" w:sz="5" w:color="D9D9D9"/>
              <w:bottom w:val="single" w:sz="5" w:color="D9D9D9"/>
              <w:right w:val="single" w:sz="5" w:color="D9D9D9"/>
            </w:tcBorders>
            <w:shd w:fill="FFFFFF"/>
            <w:tcMar>
              <w:top w:w="75" w:type="dxa"/>
              <w:left w:w="75" w:type="dxa"/>
              <w:bottom w:w="75" w:type="dxa"/>
              <w:right w:w="75" w:type="dxa"/>
            </w:tcMar>
          </w:tcPr>
          <w:p>
            <w:pPr>
              <w:spacing w:before="40" w:after="40"/>
              <w:jc w:val="center"/>
            </w:pPr>
            <w:r>
              <w:rPr>
                <w:b w:val="0"/>
                <w:sz w:val="19"/>
              </w:rPr>
              <w:t>0.500</w:t>
            </w:r>
          </w:p>
        </w:tc>
        <w:tc>
          <w:tcPr>
            <w:tcW w:type="dxa" w:w="4752"/>
            <w:vAlign w:val="center"/>
            <w:tcBorders>
              <w:top w:val="single" w:sz="5" w:color="D9D9D9"/>
              <w:left w:val="single" w:sz="5" w:color="D9D9D9"/>
              <w:bottom w:val="single" w:sz="5" w:color="D9D9D9"/>
              <w:right w:val="single" w:sz="5" w:color="D9D9D9"/>
            </w:tcBorders>
            <w:shd w:fill="FFFFFF"/>
            <w:tcMar>
              <w:top w:w="75" w:type="dxa"/>
              <w:left w:w="75" w:type="dxa"/>
              <w:bottom w:w="75" w:type="dxa"/>
              <w:right w:w="75" w:type="dxa"/>
            </w:tcMar>
          </w:tcPr>
          <w:p>
            <w:pPr>
              <w:spacing w:before="40" w:after="40"/>
              <w:jc w:val="center"/>
            </w:pPr>
            <w:r>
              <w:rPr>
                <w:b w:val="0"/>
                <w:sz w:val="19"/>
              </w:rPr>
              <w:t>41.9%</w:t>
            </w:r>
          </w:p>
        </w:tc>
      </w:tr>
      <w:tr>
        <w:trPr>
          <w:cantSplit/>
        </w:trPr>
        <w:tc>
          <w:tcPr>
            <w:tcW w:type="dxa" w:w="1584"/>
            <w:vAlign w:val="center"/>
            <w:tcBorders>
              <w:top w:val="single" w:sz="5" w:color="D9D9D9"/>
              <w:left w:val="single" w:sz="5" w:color="D9D9D9"/>
              <w:bottom w:val="single" w:sz="5" w:color="D9D9D9"/>
              <w:right w:val="single" w:sz="5" w:color="D9D9D9"/>
            </w:tcBorders>
            <w:shd w:fill="FFFFFF"/>
            <w:tcMar>
              <w:top w:w="75" w:type="dxa"/>
              <w:left w:w="75" w:type="dxa"/>
              <w:bottom w:w="75" w:type="dxa"/>
              <w:right w:w="75" w:type="dxa"/>
            </w:tcMar>
          </w:tcPr>
          <w:p>
            <w:pPr>
              <w:spacing w:before="40" w:after="40"/>
            </w:pPr>
            <w:r>
              <w:rPr>
                <w:b w:val="0"/>
                <w:sz w:val="19"/>
              </w:rPr>
              <w:t>Gibecq</w:t>
            </w:r>
          </w:p>
        </w:tc>
        <w:tc>
          <w:tcPr>
            <w:tcW w:type="dxa" w:w="3168"/>
            <w:vAlign w:val="center"/>
            <w:tcBorders>
              <w:top w:val="single" w:sz="5" w:color="D9D9D9"/>
              <w:left w:val="single" w:sz="5" w:color="D9D9D9"/>
              <w:bottom w:val="single" w:sz="5" w:color="D9D9D9"/>
              <w:right w:val="single" w:sz="5" w:color="D9D9D9"/>
            </w:tcBorders>
            <w:shd w:fill="FFFFFF"/>
            <w:tcMar>
              <w:top w:w="75" w:type="dxa"/>
              <w:left w:w="75" w:type="dxa"/>
              <w:bottom w:w="75" w:type="dxa"/>
              <w:right w:w="75" w:type="dxa"/>
            </w:tcMar>
          </w:tcPr>
          <w:p>
            <w:pPr>
              <w:spacing w:before="40" w:after="40"/>
              <w:jc w:val="center"/>
            </w:pPr>
            <w:r>
              <w:rPr>
                <w:b w:val="0"/>
                <w:sz w:val="19"/>
              </w:rPr>
              <w:t>0.386</w:t>
            </w:r>
          </w:p>
        </w:tc>
        <w:tc>
          <w:tcPr>
            <w:tcW w:type="dxa" w:w="4752"/>
            <w:vAlign w:val="center"/>
            <w:tcBorders>
              <w:top w:val="single" w:sz="5" w:color="D9D9D9"/>
              <w:left w:val="single" w:sz="5" w:color="D9D9D9"/>
              <w:bottom w:val="single" w:sz="5" w:color="D9D9D9"/>
              <w:right w:val="single" w:sz="5" w:color="D9D9D9"/>
            </w:tcBorders>
            <w:shd w:fill="FFFFFF"/>
            <w:tcMar>
              <w:top w:w="75" w:type="dxa"/>
              <w:left w:w="75" w:type="dxa"/>
              <w:bottom w:w="75" w:type="dxa"/>
              <w:right w:w="75" w:type="dxa"/>
            </w:tcMar>
          </w:tcPr>
          <w:p>
            <w:pPr>
              <w:spacing w:before="40" w:after="40"/>
              <w:jc w:val="center"/>
            </w:pPr>
            <w:r>
              <w:rPr>
                <w:b w:val="0"/>
                <w:sz w:val="19"/>
              </w:rPr>
              <w:t>32.1%</w:t>
            </w:r>
          </w:p>
        </w:tc>
      </w:tr>
      <w:tr>
        <w:trPr>
          <w:cantSplit/>
        </w:trPr>
        <w:tc>
          <w:tcPr>
            <w:tcW w:type="dxa" w:w="1584"/>
            <w:vAlign w:val="center"/>
            <w:tcBorders>
              <w:top w:val="single" w:sz="5" w:color="D9D9D9"/>
              <w:left w:val="single" w:sz="5" w:color="D9D9D9"/>
              <w:bottom w:val="single" w:sz="5" w:color="D9D9D9"/>
              <w:right w:val="single" w:sz="5" w:color="D9D9D9"/>
            </w:tcBorders>
            <w:shd w:fill="FFFFFF"/>
            <w:tcMar>
              <w:top w:w="75" w:type="dxa"/>
              <w:left w:w="75" w:type="dxa"/>
              <w:bottom w:w="75" w:type="dxa"/>
              <w:right w:w="75" w:type="dxa"/>
            </w:tcMar>
          </w:tcPr>
          <w:p>
            <w:pPr>
              <w:spacing w:before="40" w:after="40"/>
            </w:pPr>
            <w:r>
              <w:rPr>
                <w:b w:val="0"/>
                <w:sz w:val="19"/>
              </w:rPr>
              <w:t>Robusta</w:t>
            </w:r>
          </w:p>
        </w:tc>
        <w:tc>
          <w:tcPr>
            <w:tcW w:type="dxa" w:w="3168"/>
            <w:vAlign w:val="center"/>
            <w:tcBorders>
              <w:top w:val="single" w:sz="5" w:color="D9D9D9"/>
              <w:left w:val="single" w:sz="5" w:color="D9D9D9"/>
              <w:bottom w:val="single" w:sz="5" w:color="D9D9D9"/>
              <w:right w:val="single" w:sz="5" w:color="D9D9D9"/>
            </w:tcBorders>
            <w:shd w:fill="FFFFFF"/>
            <w:tcMar>
              <w:top w:w="75" w:type="dxa"/>
              <w:left w:w="75" w:type="dxa"/>
              <w:bottom w:w="75" w:type="dxa"/>
              <w:right w:w="75" w:type="dxa"/>
            </w:tcMar>
          </w:tcPr>
          <w:p>
            <w:pPr>
              <w:spacing w:before="40" w:after="40"/>
              <w:jc w:val="center"/>
            </w:pPr>
            <w:r>
              <w:rPr>
                <w:b w:val="0"/>
                <w:sz w:val="19"/>
              </w:rPr>
              <w:t>0.526</w:t>
            </w:r>
          </w:p>
        </w:tc>
        <w:tc>
          <w:tcPr>
            <w:tcW w:type="dxa" w:w="4752"/>
            <w:vAlign w:val="center"/>
            <w:tcBorders>
              <w:top w:val="single" w:sz="5" w:color="D9D9D9"/>
              <w:left w:val="single" w:sz="5" w:color="D9D9D9"/>
              <w:bottom w:val="single" w:sz="5" w:color="D9D9D9"/>
              <w:right w:val="single" w:sz="5" w:color="D9D9D9"/>
            </w:tcBorders>
            <w:shd w:fill="FFFFFF"/>
            <w:tcMar>
              <w:top w:w="75" w:type="dxa"/>
              <w:left w:w="75" w:type="dxa"/>
              <w:bottom w:w="75" w:type="dxa"/>
              <w:right w:w="75" w:type="dxa"/>
            </w:tcMar>
          </w:tcPr>
          <w:p>
            <w:pPr>
              <w:spacing w:before="40" w:after="40"/>
              <w:jc w:val="center"/>
            </w:pPr>
            <w:r>
              <w:rPr>
                <w:b w:val="0"/>
                <w:sz w:val="19"/>
              </w:rPr>
              <w:t>41.6%</w:t>
            </w:r>
          </w:p>
        </w:tc>
      </w:tr>
      <w:tr>
        <w:trPr>
          <w:cantSplit/>
        </w:trPr>
        <w:tc>
          <w:tcPr>
            <w:tcW w:type="dxa" w:w="1584"/>
            <w:vAlign w:val="center"/>
            <w:tcBorders>
              <w:top w:val="single" w:sz="5" w:color="D9D9D9"/>
              <w:left w:val="single" w:sz="5" w:color="D9D9D9"/>
              <w:bottom w:val="single" w:sz="5" w:color="D9D9D9"/>
              <w:right w:val="single" w:sz="5" w:color="D9D9D9"/>
            </w:tcBorders>
            <w:shd w:fill="FFFFFF"/>
            <w:tcMar>
              <w:top w:w="75" w:type="dxa"/>
              <w:left w:w="75" w:type="dxa"/>
              <w:bottom w:w="75" w:type="dxa"/>
              <w:right w:w="75" w:type="dxa"/>
            </w:tcMar>
          </w:tcPr>
          <w:p>
            <w:pPr>
              <w:spacing w:before="40" w:after="40"/>
            </w:pPr>
            <w:r>
              <w:rPr>
                <w:b w:val="0"/>
                <w:sz w:val="19"/>
              </w:rPr>
              <w:t>Trichobel</w:t>
            </w:r>
          </w:p>
        </w:tc>
        <w:tc>
          <w:tcPr>
            <w:tcW w:type="dxa" w:w="3168"/>
            <w:vAlign w:val="center"/>
            <w:tcBorders>
              <w:top w:val="single" w:sz="5" w:color="D9D9D9"/>
              <w:left w:val="single" w:sz="5" w:color="D9D9D9"/>
              <w:bottom w:val="single" w:sz="5" w:color="D9D9D9"/>
              <w:right w:val="single" w:sz="5" w:color="D9D9D9"/>
            </w:tcBorders>
            <w:shd w:fill="FFFFFF"/>
            <w:tcMar>
              <w:top w:w="75" w:type="dxa"/>
              <w:left w:w="75" w:type="dxa"/>
              <w:bottom w:w="75" w:type="dxa"/>
              <w:right w:w="75" w:type="dxa"/>
            </w:tcMar>
          </w:tcPr>
          <w:p>
            <w:pPr>
              <w:spacing w:before="40" w:after="40"/>
              <w:jc w:val="center"/>
            </w:pPr>
            <w:r>
              <w:rPr>
                <w:b w:val="0"/>
                <w:sz w:val="19"/>
              </w:rPr>
              <w:t>0.595</w:t>
            </w:r>
          </w:p>
        </w:tc>
        <w:tc>
          <w:tcPr>
            <w:tcW w:type="dxa" w:w="4752"/>
            <w:vAlign w:val="center"/>
            <w:tcBorders>
              <w:top w:val="single" w:sz="5" w:color="D9D9D9"/>
              <w:left w:val="single" w:sz="5" w:color="D9D9D9"/>
              <w:bottom w:val="single" w:sz="5" w:color="D9D9D9"/>
              <w:right w:val="single" w:sz="5" w:color="D9D9D9"/>
            </w:tcBorders>
            <w:shd w:fill="FFFFFF"/>
            <w:tcMar>
              <w:top w:w="75" w:type="dxa"/>
              <w:left w:w="75" w:type="dxa"/>
              <w:bottom w:w="75" w:type="dxa"/>
              <w:right w:w="75" w:type="dxa"/>
            </w:tcMar>
          </w:tcPr>
          <w:p>
            <w:pPr>
              <w:spacing w:before="40" w:after="40"/>
              <w:jc w:val="center"/>
            </w:pPr>
            <w:r>
              <w:rPr>
                <w:b w:val="0"/>
                <w:sz w:val="19"/>
              </w:rPr>
              <w:t>32.3%</w:t>
            </w:r>
          </w:p>
        </w:tc>
      </w:tr>
    </w:tbl>
    <w:p>
      <w:pPr>
        <w:spacing w:after="0"/>
      </w:pPr>
    </w:p>
    <w:p>
      <w:pPr>
        <w:pStyle w:val="Caption"/>
      </w:pPr>
      <w:r>
        <w:t>Table S1. These summaries describe the 26-year reporting summer models. Pseudo-R² = 1 − combined-model deviance / intercept-only deviance describes age and weather together. The last column compares that model with quadratic age alone; it is not a causal share of raw PAIC variance explained. The eight-hypothesis AICc comparison is calculated separately on 24 identical years, as shown in Figure 1.</w:t>
      </w:r>
    </w:p>
    <w:sectPr w:rsidR="00FC693F" w:rsidRPr="0006063C" w:rsidSect="00034616">
      <w:footerReference w:type="default" r:id="rId9"/>
      <w:pgSz w:w="11909" w:h="16834"/>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fldSimple w:instr="PAGE"/>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4" w:lineRule="auto"/>
    </w:pPr>
    <w:rPr>
      <w:rFonts w:ascii="Arial" w:hAnsi="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outlineLvl w:val="0"/>
    </w:pPr>
    <w:rPr>
      <w:rFonts w:asciiTheme="majorHAnsi" w:eastAsiaTheme="majorEastAsia" w:hAnsiTheme="majorHAnsi" w:cstheme="majorBidi" w:ascii="Arial" w:hAnsi="Arial"/>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80" w:line="240" w:lineRule="auto"/>
      <w:contextualSpacing/>
    </w:pPr>
    <w:rPr>
      <w:rFonts w:asciiTheme="majorHAnsi" w:eastAsiaTheme="majorEastAsia" w:hAnsiTheme="majorHAnsi" w:cstheme="majorBidi" w:ascii="Arial" w:hAnsi="Arial"/>
      <w:color w:val="000000"/>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after="140"/>
    </w:pPr>
    <w:rPr>
      <w:rFonts w:ascii="Arial" w:hAnsi="Arial"/>
      <w:b w:val="0"/>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Weather associations with observed PAIC</dc:title>
  <dc:subject>Quadratic age methods weather associations and supplementary trajectories</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