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21 October 2026</w:t>
      </w:r>
    </w:p>
    <w:p>
      <w:r>
        <w:t>Summer rainfall is positively associated with PAIC in all four hybrids after allowing a curved age trajectory associated with stand development. Trichobel has the largest estimated absolute rainfall and temperature associations, but the uncertainty does not establish larger responses than in the other hybrids. These exploratory results suggest possible weather contributions to growth, not a causal explanation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model dataset contains 26 measurement years from 1994 to 2023, giving 104 hybrid summaries. All candidate models use these same years, with complete summer temperature and rainfall. Weather is assigned from the growth year preceding measurement: a measurement in year t receives weather from year t − 1. There are 26 shared weather occasions, not 104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pPr>
        <w:pStyle w:val="Heading1"/>
        <w:pageBreakBefore/>
      </w:pPr>
      <w:r>
        <w:t>Calculated results from the weather screen</w:t>
      </w:r>
    </w:p>
    <w:p>
      <w:pPr>
        <w:keepNext/>
        <w:jc w:val="center"/>
      </w:pPr>
      <w:r>
        <w:drawing>
          <wp:inline xmlns:a="http://schemas.openxmlformats.org/drawingml/2006/main" xmlns:pic="http://schemas.openxmlformats.org/drawingml/2006/picture">
            <wp:extent cx="6035040" cy="4358640"/>
            <wp:docPr id="1" name="Picture 1" descr="Figure 1. Pearson correlations between each candidate and original PAIC, by hybrid, using 24 common complete-weather measurement years. The colour scale is centred on zero. These are descriptive associations and include shared temporal patterns. Cell values and colour show Pearson correlation coefficients on the same 24 complete-weather measurement years for all nine candidates. PAIC is periodic annual carbon increment, paired with weather in the preceding growth year. No age adjustment or response standardisation is applied in this screen. The nine candidates were hypothesis guided; correlations alone did not determine model selection and may reflect shared temporal trend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035040" cy="4358640"/>
                    </a:xfrm>
                    <a:prstGeom prst="rect"/>
                  </pic:spPr>
                </pic:pic>
              </a:graphicData>
            </a:graphic>
          </wp:inline>
        </w:drawing>
      </w:r>
    </w:p>
    <w:p>
      <w:pPr>
        <w:pStyle w:val="Caption"/>
      </w:pPr>
      <w:r>
        <w:t>Figure 1. Pearson correlations between each candidate and original PAIC, by hybrid, using 24 common complete-weather measurement years. The colour scale is centred on zero. These are descriptive associations and include shared temporal patterns. Cell values and colour show Pearson correlation coefficients on the same 24 complete-weather measurement years for all nine candidates. PAIC is periodic annual carbon increment, paired with weather in the preceding growth year. No age adjustment or response standardisation is applied in this screen. The nine candidates were hypothesis guided; correlations alone did not determine model selection and may reflect shared temporal trends.</w:t>
      </w:r>
    </w:p>
    <w:p>
      <w:r>
        <w:t>We inspected scatterplots for all nine variables within each hybrid and calculated Pearson correlations for linear association and Spearman correlations for rank association. The common 24-year comparison excludes measurement years 2001 and 2019 because of incomplete spring temperature or ground-frost records. Predictor-specific complete records (25 or 26 years) and omission of individual years were also checked; the final summer models use all 26 complete summer years.</w:t>
      </w:r>
    </w:p>
    <w:p>
      <w:r>
        <w:t>Summer rainfall has the clearest consistent positive raw association: Pearson r = 0.40, 0.56, 0.57 and 0.63 for Beaupre, Gibecq, Robusta and Trichobel. The corresponding Spearman values are 0.36, 0.48, 0.50 and 0.63. Every leave-one-year-out Pearson value remains positive. Summer temperature has weaker raw correlations: 0.03, 0.06, 0.20 and 0.27; Trichobel also has positive spring temperature and sunshine associations.</w:t>
      </w:r>
    </w:p>
    <w:p>
      <w:pPr>
        <w:pStyle w:val="Heading1"/>
      </w:pPr>
      <w:r>
        <w:t>How the model variables were chosen</w:t>
      </w:r>
    </w:p>
    <w:p>
      <w:r>
        <w:t>We retained summer rainfall as the clearest common water-supply signal and summer temperature as a biologically motivated warmth hypothesis, including the question of Trichobel’s response. The candidate family contains no weather, rainfall alone, temperature alone, and both together. This tests the added contribution of temperature rather than assuming it is needed. Spring, sunshine, frost and dry-spell variables remain contextual screening results; they were not added through stepwise searches.</w:t>
      </w:r>
    </w:p>
    <w:p>
      <w:r>
        <w:t>This is hypothesis-guided exploratory selection, informed by earlier examination of the dataset. It was not independently prespecified. Correlation strength alone did not determine inclusion, and the reported intervals do not account for this selection process.</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four candidate models: age alone, age plus summer rainfall, age plus summer temperature, and age plus both. This gives four fits per hybrid and 16 fits overall, all on the same 26 years. The combined-weather model supplies the comparable associations presented in Figure 2; rainfall-only and temperature-only candidates describe the contribution of the other weather term without a stepwise search.</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What the dots and whiskers mean</w:t>
      </w:r>
    </w:p>
    <w:p>
      <w:r>
        <w:t>Dots are estimated mean PAIC differences for the stated weather contrasts. Whiskers show uncertainty in those estimates. We generated 1,000 alternative datasets by resampling blocks of three successive observed visits. All four hybrids and their weather move together. We refit the four hybrid models and recalculate the contrasts for each resample. The middle 95% of these values gives a pointwise percentile interval.</w:t>
      </w:r>
    </w:p>
    <w:p>
      <w:r>
        <w:t>Hybrid differences are calculated directly within each resample, preserving their pairing. A wider whisker means the mean association is less precisely estimated; it does not measure year-to-year variability in physiological sensitivity. The models do not estimate separate weather slopes for individual years. Blocks wrap across the record ends and cover three visits, not necessarily three calendar years. Intervals are exploratory, not simultaneous, and omit variable-selection, allometric and weather measurement uncertainty.</w:t>
      </w:r>
    </w:p>
    <w:p>
      <w:pPr>
        <w:pStyle w:val="Heading1"/>
        <w:pageBreakBefore/>
      </w:pPr>
      <w:r>
        <w:t>Calculated weather associations by hybrid</w:t>
      </w:r>
    </w:p>
    <w:p>
      <w:pPr>
        <w:keepNext/>
        <w:jc w:val="center"/>
      </w:pPr>
      <w:r>
        <w:drawing>
          <wp:inline xmlns:a="http://schemas.openxmlformats.org/drawingml/2006/main" xmlns:pic="http://schemas.openxmlformats.org/drawingml/2006/picture">
            <wp:extent cx="6035040" cy="3218688"/>
            <wp:docPr id="2" name="Picture 2" descr="Figure 2. Absolute PAIC differences associated with summer rainfall and temperature, conditional on hybrid-specific quadratic age trajectories. Dots show estimated mean differences and whiskers show pointwise 95% paired block-bootstrap intervals. Rainfall and temperature are included together. Whiskers quantify estimation uncertainty, not annual variation in the response.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Absolute PAIC differences associated with summer rainfall and temperature, conditional on hybrid-specific quadratic age trajectories. Dots show estimated mean differences and whiskers show pointwise 95% paired block-bootstrap intervals. Rainfall and temperature are included together. Whiskers quantify estimation uncertainty, not annual variation in the response.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pPr>
        <w:pStyle w:val="Heading1"/>
        <w:pageBreakBefore/>
      </w:pPr>
      <w:r>
        <w:t>Discussion and limits of interpretation</w:t>
      </w:r>
    </w:p>
    <w:p>
      <w:pPr>
        <w:pStyle w:val="Heading1"/>
      </w:pPr>
      <w:r>
        <w:t>Possible biological explanation</w:t>
      </w:r>
    </w:p>
    <w:p>
      <w:r>
        <w:t>The most consistent association is greater PAIC with wetter summers across all four hybrids, compatible with a contribution from summer water availability. Warmer summers are also associated with greater fitted PAIC, conditional on rainfall and the modelled age trajectory. These patterns provide a possible environmental contribution to growth during the study, rather than an independent attribution to climate change.</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accounts for the duration of multi-year PAIC intervals but cannot identify growth in missing years; using the final year’s weather leaves that timing uncertain. The 26 shared weather occasions are the basis for environmental inference; the four hybrid summaries do not multiply the independent weather sample size.</w:t>
      </w:r>
    </w:p>
    <w:p>
      <w:r>
        <w:t>Residual correlations between consecutive calendar years are approximately 0.35, 0.56, 0.29 and 0.00 for Beaupre, Gibecq, Robusta and Trichobel. Three-visit blocks preserve some local dependence, but their length is not established as sufficient. Interval endpoints remain exploratory. Stronger significance claims would require a defensible serial-error analysis or assessment of block-length sensitivity.</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2 for the weather associations and explain the hypothesis-guided variable selection in Methods. Figure 1 can document that selection in supplementary material. Figure S1 shows the fitted quadratic age trajectories at fixed weather, making the background age patterns explicit without treating them as isolated causal effects.</w:t>
      </w:r>
    </w:p>
    <w:p>
      <w:pPr>
        <w:pStyle w:val="Heading1"/>
        <w:pageBreakBefore/>
      </w:pPr>
      <w:r>
        <w:t>Supplementary age trajectories and model fit</w:t>
      </w:r>
    </w:p>
    <w:p>
      <w:pPr>
        <w:keepNext/>
        <w:jc w:val="center"/>
      </w:pPr>
      <w:r>
        <w:drawing>
          <wp:inline xmlns:a="http://schemas.openxmlformats.org/drawingml/2006/main" xmlns:pic="http://schemas.openxmlformats.org/drawingml/2006/picture">
            <wp:extent cx="5669280" cy="4094480"/>
            <wp:docPr id="3" name="Picture 3" descr="Figure S1. Fitted mean PAIC across the observed age range, with summer temperature fixed at 15.81 °C and rainfall at 172.44 mm. Each hybrid has its own quadratic age terms. These curves illustrate model shapes; uncertainty is omitted for clarity. They are not observed growth trajectories or estimates of an isolated causal age effect.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4094480"/>
                    </a:xfrm>
                    <a:prstGeom prst="rect"/>
                  </pic:spPr>
                </pic:pic>
              </a:graphicData>
            </a:graphic>
          </wp:inline>
        </w:drawing>
      </w:r>
    </w:p>
    <w:p>
      <w:pPr>
        <w:pStyle w:val="Caption"/>
      </w:pPr>
      <w:r>
        <w:t>Figure S1. Fitted mean PAIC across the observed age range, with summer temperature fixed at 15.81 °C and rainfall at 172.44 mm. Each hybrid has its own quadratic age terms. These curves illustrate model shapes; uncertainty is omitted for clarity. They are not observed growth trajectories or estimates of an isolated causal age effect.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w:t>
      </w:r>
    </w:p>
    <w:p>
      <w:r>
        <w:t>The fitted age trajectory declines in Beaupre, bends modestly in Gibecq, and allows a growth peak followed by decline in Robusta and Trichobel. These are conditional descriptions of this cohort at fixed weather, not evidence that hybrids would follow the same trajectory under other management or stand conditions.</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Pseudo-R² = 1 − combined-model deviance / intercept-only deviance and therefore describes age and weather together. The last column compares the combined model with quadratic age alone. These are improvements in fitted Gamma deviance, not percentages of raw PAIC variance explained or a causal share attributable to weather. AICc comparisons of all four weather candidates are exported separately and remain descriptive because residual serial dependence persists.</w:t>
      </w:r>
    </w:p>
    <w:p>
      <w:pPr>
        <w:pStyle w:val="Caption"/>
      </w:pPr>
      <w:r>
        <w:t>Reproducibility: analysis/14_raw_paic_weather_final.R, its figures helper and 14_raw_paic_weather_checks.R; results/models/final_raw_paic_weather.rds; current final_weather_ tables and figures. Candidate weather values are reused from weather_departure_screen_data.csv; no departures from that file enter the models. Figures have 600 dpi PNG and vector PDF exports. Earlier plots are archived outside results/figures; earlier Word versions are preserved separately.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