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20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pPr>
        <w:pStyle w:val="Heading1"/>
      </w:pPr>
      <w:r>
        <w:t>Main results</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40.08</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1.09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33.77</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38.73</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65.99</w:t>
            </w:r>
          </w:p>
        </w:tc>
      </w:tr>
    </w:tbl>
    <w:p>
      <w:pPr>
        <w:spacing w:after="0"/>
      </w:pPr>
    </w:p>
    <w:p>
      <w:r>
        <w:t>The table gives 2023 medians. PAIC and MAIC are in Mg C per hectare per year; stock is in Mg C per hectare. Trichobel has the highest median values at the final visit. This descriptive ranking does not substitute for a longitudinal statistical comparison.</w:t>
      </w:r>
    </w:p>
    <w:p>
      <w:pPr>
        <w:pStyle w:val="Heading1"/>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keepNext/>
        <w:jc w:val="center"/>
      </w:pPr>
      <w:r>
        <w:drawing>
          <wp:inline xmlns:a="http://schemas.openxmlformats.org/drawingml/2006/main" xmlns:pic="http://schemas.openxmlformats.org/drawingml/2006/picture">
            <wp:extent cx="4727448" cy="4464812"/>
            <wp:docPr id="1" name="Picture 1" descr="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4727448" cy="4464812"/>
                    </a:xfrm>
                    <a:prstGeom prst="rect"/>
                  </pic:spPr>
                </pic:pic>
              </a:graphicData>
            </a:graphic>
          </wp:inline>
        </w:drawing>
      </w:r>
    </w:p>
    <w:p>
      <w:pPr>
        <w:pStyle w:val="Caption"/>
      </w:pPr>
      <w:r>
        <w:t>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w:t>
      </w:r>
    </w:p>
    <w:p>
      <w:pPr>
        <w:pStyle w:val="Heading1"/>
      </w:pPr>
      <w:r>
        <w:t>Discussion and decisions still needed</w:t>
      </w:r>
    </w:p>
    <w:p>
      <w:r>
        <w:t>Use PAIC to discuss changes in growth rate, and MAIC or stocks to discuss accumulated carbon. Resolve the remaining Robusta response-summary discrepancy, the treatment of missing or nonpositive observations, and allometric uncertainty before final inference. Do not interpret continued stock differences as evidence that current growth rates remain different.</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p>
      <w:pPr>
        <w:pStyle w:val="Heading1"/>
        <w:pageBreakBefore/>
      </w:pPr>
      <w:r>
        <w:t>Descriptions for additional figure exports</w:t>
      </w:r>
    </w:p>
    <w:p>
      <w:pPr>
        <w:pStyle w:val="Heading2"/>
      </w:pPr>
      <w:r>
        <w:t>paic shared fluctuations</w:t>
      </w:r>
    </w:p>
    <w:p>
      <w:r>
        <w:t>Descriptive comparison of hybrid PAIC on common positive-response measurement years. Panel A shows observed tree-level hybrid medians as thin lines and symbols and separate quadratic trends fitted to log PAIC as thick lines. Panel B shows log-scale residuals divided by the within-hybrid residual standard deviation; zero denotes the fitted trend. Panel C gives Pearson correlations of those standardised departures. Panel D divides Trichobel PAIC by the geometric mean for Beaupre, Gibecq and Robusta; the dashed line at one denotes equal PAIC. No shared year effect is removed. Lines connect observed visits without imputing missing years. Correlations do not establish weather causation; sensitivity analyses use linear detrending and the legacy response series.</w:t>
      </w:r>
    </w:p>
    <w:p>
      <w:r>
        <w:t>Figure file: results/figures/paic_shared_fluctuations.png</w:t>
      </w:r>
    </w:p>
    <w:p>
      <w:pPr>
        <w:pStyle w:val="Heading2"/>
      </w:pPr>
      <w:r>
        <w:t>trichobel relative paic</w:t>
      </w:r>
    </w:p>
    <w:p>
      <w:r>
        <w:t>Observed tree-level median PAIC for Trichobel divided by the geometric mean of Beaupre, Gibecq and Robusta at each measurement visit. The dashed line at one indicates equal PAIC. Symbols are observed ratios and lines connect visits without imputing missing years. The ratio is descriptive and does not adjust for age or quantify uncertainty.</w:t>
      </w:r>
    </w:p>
    <w:p>
      <w:r>
        <w:t>Figure file: results/figures/trichobel_relative_paic.png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