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Plan de modelado: Predicción de churn en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1. Punto de partida: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Pregunta analítica: ¿qué clientes tienen más probabilidad de darse de baja, para decidir a cuáles ofrecerles una promoción de retención?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Unidad de análisis y variable objetivo: un cliente por fila, </w:t>
      </w:r>
      <w:r w:rsidDel="00000000" w:rsidR="00000000" w:rsidRPr="00000000">
        <w:rPr>
          <w:b w:val="1"/>
          <w:bCs w:val="1"/>
          <w:rtl w:val="0"/>
        </w:rPr>
        <w:t xml:space="preserve">Churn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 binaria (1 = se dio de baja)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KPI: tasa de fuga = clientes que se dieron de baja / total de clientes × 100. Línea base de 26.540% (1869 de 7043 clientes) y meta de referencia de unos 21.23%.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Fuente: Telco Customer Churn (Kaggle) datos de ejemplo de IBM, obtenidos el 22/10/2026: 7043 clientes y 21 columnas.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Datos ya preparados (cuaderno </w:t>
      </w:r>
      <w:r w:rsidDel="00000000" w:rsidR="00000000" w:rsidRPr="00000000">
        <w:rPr>
          <w:rtl w:val="0"/>
        </w:rPr>
        <w:t xml:space="preserve">02_comprension_preparacion</w:t>
      </w:r>
      <w:r w:rsidDel="00000000" w:rsidR="00000000" w:rsidRPr="00000000">
        <w:rPr>
          <w:rtl w:val="0"/>
        </w:rPr>
        <w:t xml:space="preserve">): partición 80% / 20% estratificada con semilla 42, con 5634 clientes de entrenamiento y 1409 de prueba (26.54% de bajas en ambos), 20 variables para modelar que tras la codificación son 26 columnas. </w:t>
      </w:r>
      <w:r w:rsidDel="00000000" w:rsidR="00000000" w:rsidRPr="00000000">
        <w:rPr>
          <w:rtl w:val="0"/>
        </w:rPr>
        <w:t xml:space="preserve">gender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SeniorCitizen</w:t>
      </w:r>
      <w:r w:rsidDel="00000000" w:rsidR="00000000" w:rsidRPr="00000000">
        <w:rPr>
          <w:rtl w:val="0"/>
        </w:rPr>
        <w:t xml:space="preserve"> quedan fuera del modelo y se guardan solo para revisar sesgos.</w:t>
      </w:r>
    </w:p>
    <w:p w:rsidR="00000000" w:rsidDel="00000000" w:rsidP="00000000" w:rsidRDefault="00000000" w:rsidRPr="00000000" w14:paraId="00000008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Consecuencia para el modelado: es un problema de clasificación binaria con clases desbalanceadas (26.54% de bajas frente a 73.46% de permanencias) y los datos son una foto de un solo momento sin fechas. Ambas cosas condicionan que técnicas sirven, como se parten los datos y qué métricas se usan. </w:t>
      </w:r>
    </w:p>
    <w:p w:rsidR="00000000" w:rsidDel="00000000" w:rsidP="00000000" w:rsidRDefault="00000000" w:rsidRPr="00000000" w14:paraId="00000009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Que mostraron los datos y qué implica para el modelado: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.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5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Hallazgo (cuaderno 02)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Implicación para el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fuga baja con la antigüedad: 47.44% entre 0 y 12 meses y 9.51% entre 49 y 72 meses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antigüedad es una señal central y justifica el análisis de supervivencia, que modela el tiempo hasta la 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contrato mes a mes tiene 42.71% de fuga y el de dos años 2.83%, el cheque electrónico llega a 45.29%. </w:t>
            </w:r>
            <w:r w:rsidDel="00000000" w:rsidR="00000000" w:rsidRPr="00000000">
              <w:rPr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  <w:t xml:space="preserve"> es la variable más asociada a la baja (V de Cramér 0.41)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 los primeros grupos candidatos para las campañas de retención y se incluyen en la revisión de equidad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fuga no sube de forma pareja con el número de servicios: 44.92% con 3 servicios y 5.29% con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relación no es lineal, por eso se prueba un clasificador clásico además de la regresión logística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MonthlyCharges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TotalCharges</w:t>
            </w:r>
            <w:r w:rsidDel="00000000" w:rsidR="00000000" w:rsidRPr="00000000">
              <w:rPr>
                <w:rtl w:val="0"/>
              </w:rPr>
              <w:t xml:space="preserve"> están muy relacionadas: </w:t>
            </w:r>
            <w:r w:rsidDel="00000000" w:rsidR="00000000" w:rsidRPr="00000000">
              <w:rPr>
                <w:rtl w:val="0"/>
              </w:rPr>
              <w:t xml:space="preserve">TotalCharges</w:t>
            </w:r>
            <w:r w:rsidDel="00000000" w:rsidR="00000000" w:rsidRPr="00000000">
              <w:rPr>
                <w:rtl w:val="0"/>
              </w:rPr>
              <w:t xml:space="preserve"> es casi la antigüedad por el cargo 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Hay riesgo de variables redundantes en la regresión logística, lo que justifica su versión regularizada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11 clientes con </w:t>
            </w:r>
            <w:r w:rsidDel="00000000" w:rsidR="00000000" w:rsidRPr="00000000">
              <w:rPr>
                <w:rtl w:val="0"/>
              </w:rPr>
              <w:t xml:space="preserve">TotalCharges</w:t>
            </w:r>
            <w:r w:rsidDel="00000000" w:rsidR="00000000" w:rsidRPr="00000000">
              <w:rPr>
                <w:rtl w:val="0"/>
              </w:rPr>
              <w:t xml:space="preserve"> en blanco tienen 0 meses de antigüedad y ninguno se dio de 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rellenaron con 0 en la preparación; en supervivencia se excluyen porque su tiempo es 0</w:t>
            </w:r>
          </w:p>
        </w:tc>
      </w:tr>
    </w:tbl>
    <w:p w:rsidR="00000000" w:rsidDel="00000000" w:rsidP="00000000" w:rsidRDefault="00000000" w:rsidRPr="00000000" w14:paraId="00000017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2. Tecnicas Candidatas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aporta al 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en el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Regresión logística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 la probabilidad de baja de cada cliente y es fácil de explicar al área de retención.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Regresión logística regularizada: Ridge, Lasso, Elastic Net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 la complejidad cuando hay variables muy relacionadas entre sí (antigüedad, cargo mensual y cargo total) y ayuda a ver cuáles pesan más.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Refinamiento del modelo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Clasificador clásico (árbol de decisión, bosque aleatorio o boosting)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relaciones no lineales, como el pico de fuga con 3 servicios, y combinaciones como contrato mes a mes con cargo alto.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de comparación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supervivencia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 la antigüedad como tiempo y la baja como evento: dice cuándo es más probable que se vaya el cliente, no solo quién.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Segunda familia de técnicas (prevista para el Hito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Segmentación (clustering)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Agrupa clientes en perfiles para diseñar promociones distintas por grupo.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Complementaria, solo si hay tiempo</w:t>
            </w:r>
          </w:p>
        </w:tc>
      </w:tr>
    </w:tbl>
    <w:p w:rsidR="00000000" w:rsidDel="00000000" w:rsidP="00000000" w:rsidRDefault="00000000" w:rsidRPr="00000000" w14:paraId="0000002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Combinación prevista: la familia de clasificación (logistica, regularizada y clasificador clasico) es el nucleo, porque responde directamente a la pregunta de negocio. La supervivencia aporta la dimensión del tiempo y refuerza la decisión de a quién llamar primero.</w:t>
      </w:r>
    </w:p>
    <w:p w:rsidR="00000000" w:rsidDel="00000000" w:rsidP="00000000" w:rsidRDefault="00000000" w:rsidRPr="00000000" w14:paraId="0000002C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3. Alternativas consideradas y descartadas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565"/>
        <w:tblGridChange w:id="0">
          <w:tblGrid>
            <w:gridCol w:w="3435"/>
            <w:gridCol w:w="5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Razón para descartarla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Regresión lineal simple o múltiple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variable objetivo es binaria, una regresión lineal puede predecir valores fuera de 0 y 1 y no da una probabilidad confiable.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Series temporales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datos no tienen fechas, así que no hay serie que pronosticar.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Inferencia causal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observa qué clientes recibieron una promoción ni su respuesta, sin intervención ni grupo de control no se puede medir el efecto de la campaña.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Sistemas de recomendación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hay historial de interacciones usuario-ítem, el problema es estimar riesgo, no sugerir productos.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Reglas de asociación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Describen qué servicios se contratan juntos, pero no estiman el riesgo de baja de cada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Reducción de dimensionalidad (PCA, t-SNE, UMAP)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 21 columnas, en su mayoría categóricas e interpretables, condensar variables restaría explicabilidad sin una ganancia clara.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Clustering como técnica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Agrupa clientes pero no predice la baja; se mantiene solo como apoyo.</w:t>
            </w:r>
          </w:p>
        </w:tc>
      </w:tr>
    </w:tbl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4. Metodología de evaluación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Partición (ya hecha en el cuaderno 02): 80% entrenamiento (5634 clientes) y 20% prueba (1409), estratificada por </w:t>
      </w:r>
      <w:r w:rsidDel="00000000" w:rsidR="00000000" w:rsidRPr="00000000">
        <w:rPr>
          <w:b w:val="1"/>
          <w:bCs w:val="1"/>
          <w:rtl w:val="0"/>
        </w:rPr>
        <w:t xml:space="preserve">Churn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con semilla 42, ambos conjuntos tienen 26.54% de bajas. No se usa partición temporal porque los datos no tienen fechas.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Selección de modelos: validación cruzada estratificada de 5 pliegues solo sobre el conjunto de entrenamiento. El conjunto de prueba se usa una sola vez, al final.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Prevención de fuga de información: el preprocesamiento ya se ajustó solo con entrenamiento. Para la validación cruzada hay que repetirlo dentro de cada pliegue (con un pipeline) partiendo 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telco_limpio.csv</w:t>
      </w:r>
      <w:r w:rsidDel="00000000" w:rsidR="00000000" w:rsidRPr="00000000">
        <w:rPr>
          <w:rtl w:val="0"/>
        </w:rPr>
        <w:t xml:space="preserve">, porque en los archivos ya escalados el escalador vio los datos de todos los pliegues. </w:t>
      </w:r>
      <w:r w:rsidDel="00000000" w:rsidR="00000000" w:rsidRPr="00000000">
        <w:rPr>
          <w:b w:val="1"/>
          <w:bCs w:val="1"/>
          <w:rtl w:val="0"/>
        </w:rPr>
        <w:t xml:space="preserve">customerID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las columnas </w:t>
      </w:r>
      <w:r w:rsidDel="00000000" w:rsidR="00000000" w:rsidRPr="00000000">
        <w:rPr>
          <w:b w:val="1"/>
          <w:bCs w:val="1"/>
          <w:rtl w:val="0"/>
        </w:rPr>
        <w:t xml:space="preserve">aud_*</w:t>
      </w:r>
      <w:r w:rsidDel="00000000" w:rsidR="00000000" w:rsidRPr="00000000">
        <w:rPr>
          <w:rtl w:val="0"/>
        </w:rPr>
        <w:t xml:space="preserve"> no entran como variables.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Línea base de comparación: la predicción simple «nadie se da de baja» acierta el 73.46% pero detecta 0% de las bajas. Todo modelo debe superarla en las métricas que importan.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Métricas:</w:t>
      </w:r>
    </w:p>
    <w:p w:rsidR="00000000" w:rsidDel="00000000" w:rsidP="00000000" w:rsidRDefault="00000000" w:rsidRPr="00000000" w14:paraId="00000044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- ROC-AUC y PR-AUC: capacidad de ordenar a los clientes por riesgo con PR-AUC como métrica clave por el desbalance.</w:t>
      </w:r>
    </w:p>
    <w:p w:rsidR="00000000" w:rsidDel="00000000" w:rsidP="00000000" w:rsidRDefault="00000000" w:rsidRPr="00000000" w14:paraId="00000045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- Recall y precisión en el umbral elegido y F1 como resumen.</w:t>
      </w:r>
    </w:p>
    <w:p w:rsidR="00000000" w:rsidDel="00000000" w:rsidP="00000000" w:rsidRDefault="00000000" w:rsidRPr="00000000" w14:paraId="00000046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- Captura de bajas en el 10% y el 20% de clientes con mayor riesgo (lift): refleja una campaña con presupuesto limitado.</w:t>
      </w:r>
    </w:p>
    <w:p w:rsidR="00000000" w:rsidDel="00000000" w:rsidP="00000000" w:rsidRDefault="00000000" w:rsidRPr="00000000" w14:paraId="00000047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- La exactitud se reporta solo como referencia, porque con clases desbalanceadas engaña.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Umbral de decisión: se elegirá según el costo de cada error (no detectar a quien se iba frente a gastar promoción en quien se quedaba), con cifras ilustrativas acordadas por el equipo.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de equidad: comparar el desempeño por género y por adultos mayores (columnas </w:t>
      </w:r>
      <w:r w:rsidDel="00000000" w:rsidR="00000000" w:rsidRPr="00000000">
        <w:rPr>
          <w:b w:val="1"/>
          <w:bCs w:val="1"/>
          <w:rtl w:val="0"/>
        </w:rPr>
        <w:t xml:space="preserve">aud_gender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aud_SeniorCitizen</w:t>
      </w:r>
      <w:r w:rsidDel="00000000" w:rsidR="00000000" w:rsidRPr="00000000">
        <w:rPr>
          <w:rtl w:val="0"/>
        </w:rPr>
        <w:t xml:space="preserve">, que no entran al modelo) y por tipo de contrato, como indica la ficha en sus riesgos.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Supervivencia: se trabaja con </w:t>
      </w:r>
      <w:r w:rsidDel="00000000" w:rsidR="00000000" w:rsidRPr="00000000">
        <w:rPr>
          <w:b w:val="1"/>
          <w:bCs w:val="1"/>
          <w:rtl w:val="0"/>
        </w:rPr>
        <w:t xml:space="preserve">telco_limpio.csv</w:t>
      </w:r>
      <w:r w:rsidDel="00000000" w:rsidR="00000000" w:rsidRPr="00000000">
        <w:rPr>
          <w:rtl w:val="0"/>
        </w:rPr>
        <w:t xml:space="preserve"> (antigüedad en meses sin escalar) y sin los 11 clientes de antigüedad 0, curvas de Kaplan-Meier por segmento e índice de concordancia para comparar modelos.</w:t>
      </w:r>
    </w:p>
    <w:p w:rsidR="00000000" w:rsidDel="00000000" w:rsidP="00000000" w:rsidRDefault="00000000" w:rsidRPr="00000000" w14:paraId="0000004B">
      <w:pPr>
        <w:keepNext w:val="0"/>
        <w:keepLines w:val="0"/>
        <w:spacing w:after="200" w:before="0" w:lineRule="auto"/>
        <w:rPr/>
      </w:pPr>
      <w:r w:rsidDel="00000000" w:rsidR="00000000" w:rsidRPr="00000000">
        <w:rPr>
          <w:rtl w:val="0"/>
        </w:rPr>
        <w:t xml:space="preserve">5. Conexión con el KPI</w:t>
      </w:r>
    </w:p>
    <w:p w:rsidR="00000000" w:rsidDel="00000000" w:rsidP="00000000" w:rsidRDefault="00000000" w:rsidRPr="00000000" w14:paraId="0000004C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Los datos no permiten medir directamente cuánto bajaría la tasa de fuga, porque no hay campaña observada. Se estimará con un escenario explícito: si la empresa contacta al grupo de mayor riesgo y la promoción retiene una proporción supuesta de esos clientes, la tasa de fuga resultante se compara con la línea base de 26.54% y con la meta de referencia (unos 21.23%). El supuesto de retención quedará declarado como tal y habrá que validarlo con la empresa.</w:t>
      </w:r>
    </w:p>
    <w:p w:rsidR="00000000" w:rsidDel="00000000" w:rsidP="00000000" w:rsidRDefault="00000000" w:rsidRPr="00000000" w14:paraId="0000004D">
      <w:pPr>
        <w:keepNext w:val="0"/>
        <w:keepLines w:val="0"/>
        <w:spacing w:after="200" w:before="0" w:lineRule="auto"/>
        <w:rPr/>
      </w:pPr>
      <w:r w:rsidDel="00000000" w:rsidR="00000000" w:rsidRPr="00000000">
        <w:rPr>
          <w:rtl w:val="0"/>
        </w:rPr>
        <w:t xml:space="preserve">6. Supuestos y limitaciones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datos son una foto de un solo momento: no se puede validar el horizonte de 30 días de la ficha.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hay registro de campañas anteriores, por lo que el modelo estima riesgo, no el efecto de la promoción.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Son datos de ejemplo de IBM publicados en Kaggle, sin fecha ni operadora identificada; los resultados podrían no generalizarse a una operadora real.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desbalance es moderado (26.54% de bajas); si afecta los resultados se evaluarán ajustes de pesos o de umbral.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11 clientes sin cargo total se trataron como 0 porque aún no recibían su primera factura; es una decisión de preparación que se mantiene en todos los modelos.</w:t>
      </w:r>
    </w:p>
    <w:p w:rsidR="00000000" w:rsidDel="00000000" w:rsidP="00000000" w:rsidRDefault="00000000" w:rsidRPr="00000000" w14:paraId="00000053">
      <w:pPr>
        <w:keepNext w:val="0"/>
        <w:keepLines w:val="0"/>
        <w:spacing w:after="200" w:before="0" w:lineRule="auto"/>
        <w:rPr/>
      </w:pPr>
      <w:r w:rsidDel="00000000" w:rsidR="00000000" w:rsidRPr="00000000">
        <w:rPr>
          <w:rtl w:val="0"/>
        </w:rPr>
        <w:t xml:space="preserve">7. Orden de ejecución previsto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Hecho: datos cargados, verificados y preparados (cuadernos 01 y 02) y diccionario de datos.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Entrenar y evaluar la regresión logística como modelo base.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Probar la versión regularizada y comparar.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Entrenar el clasificador clásico y compararlo con los anteriores.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Elegir el umbral según costo de errores y evaluar una sola vez en la partición de prueba.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Para el Hito 2: añadir el análisis de supervivencia y, si hay tiempo, la segmentación.</w:t>
      </w:r>
    </w:p>
    <w:p w:rsidR="00000000" w:rsidDel="00000000" w:rsidP="00000000" w:rsidRDefault="00000000" w:rsidRPr="00000000" w14:paraId="0000005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