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AEB1" w14:textId="77777777" w:rsidR="00494837" w:rsidRPr="004018D8" w:rsidRDefault="00014CDA">
      <w:pPr>
        <w:pBdr>
          <w:top w:val="single" w:sz="18" w:space="6" w:color="E4002B"/>
          <w:left w:val="single" w:sz="18" w:space="6" w:color="E4002B"/>
          <w:bottom w:val="single" w:sz="18" w:space="6" w:color="E4002B"/>
          <w:right w:val="single" w:sz="18" w:space="6" w:color="E4002B"/>
        </w:pBdr>
        <w:shd w:val="clear" w:color="auto" w:fill="E4002B"/>
        <w:spacing w:before="40" w:after="200"/>
        <w:ind w:left="113"/>
        <w:rPr>
          <w:lang w:val="es-PE"/>
        </w:rPr>
      </w:pPr>
      <w:proofErr w:type="spellStart"/>
      <w:r w:rsidRPr="004018D8">
        <w:rPr>
          <w:b/>
          <w:color w:val="FFFFFF"/>
          <w:sz w:val="40"/>
          <w:lang w:val="es-PE"/>
        </w:rPr>
        <w:t>Canvas</w:t>
      </w:r>
      <w:proofErr w:type="spellEnd"/>
      <w:r w:rsidRPr="004018D8">
        <w:rPr>
          <w:b/>
          <w:color w:val="FFFFFF"/>
          <w:sz w:val="40"/>
          <w:lang w:val="es-PE"/>
        </w:rPr>
        <w:t xml:space="preserve"> de proyecto de datos</w:t>
      </w:r>
    </w:p>
    <w:p w14:paraId="5F777685" w14:textId="77777777" w:rsidR="00494837" w:rsidRPr="004018D8" w:rsidRDefault="00014CDA">
      <w:pPr>
        <w:pBdr>
          <w:left w:val="single" w:sz="20" w:space="6" w:color="E4002B"/>
        </w:pBdr>
        <w:shd w:val="clear" w:color="auto" w:fill="FCEDEE"/>
        <w:spacing w:before="80" w:after="120"/>
        <w:ind w:left="283" w:right="113"/>
        <w:rPr>
          <w:lang w:val="es-PE"/>
        </w:rPr>
      </w:pPr>
      <w:r w:rsidRPr="004018D8">
        <w:rPr>
          <w:i/>
          <w:lang w:val="es-PE"/>
        </w:rPr>
        <w:t>Herramientas de Ciencias de Datos · Sesión 01. Lienzo de UNA página: la versión ejecutiva de la Ficha CRISP-DM. Se completa con frases cortas (no párrafos) y se usa para presentar el proyecto en 2 minutos. Si un bloque no cabe en su casilla, la idea aún no está lo bastante destilada.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494837" w14:paraId="20AF14BD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AAB54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1 · Problema y decisión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B7549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2 · Stakeholders</w:t>
            </w:r>
          </w:p>
        </w:tc>
      </w:tr>
      <w:tr w:rsidR="00494837" w14:paraId="74FD3094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B585F" w14:textId="77777777" w:rsidR="00494837" w:rsidRPr="004018D8" w:rsidRDefault="00014CDA">
            <w:pPr>
              <w:rPr>
                <w:lang w:val="es-PE"/>
              </w:rPr>
            </w:pPr>
            <w:r w:rsidRPr="004018D8">
              <w:rPr>
                <w:lang w:val="es-PE"/>
              </w:rPr>
              <w:t xml:space="preserve">Operadora de </w:t>
            </w:r>
            <w:proofErr w:type="spellStart"/>
            <w:r w:rsidRPr="004018D8">
              <w:rPr>
                <w:lang w:val="es-PE"/>
              </w:rPr>
              <w:t>telecom</w:t>
            </w:r>
            <w:proofErr w:type="spellEnd"/>
            <w:r w:rsidRPr="004018D8">
              <w:rPr>
                <w:lang w:val="es-PE"/>
              </w:rPr>
              <w:t xml:space="preserve"> pierde clientes cada mes sin criterio de riesgo. Decisión: a qué clientes dirigir la campaña de retención del próximo mes.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A19D0" w14:textId="77777777" w:rsidR="00494837" w:rsidRDefault="00014CDA">
            <w:r w:rsidRPr="004018D8">
              <w:rPr>
                <w:lang w:val="es-PE"/>
              </w:rPr>
              <w:t xml:space="preserve">Decide: gerencia/área de retención. Usa el resultado: equipo de campañas y </w:t>
            </w:r>
            <w:proofErr w:type="spellStart"/>
            <w:r w:rsidRPr="004018D8">
              <w:rPr>
                <w:lang w:val="es-PE"/>
              </w:rPr>
              <w:t>call</w:t>
            </w:r>
            <w:proofErr w:type="spellEnd"/>
            <w:r w:rsidRPr="004018D8">
              <w:rPr>
                <w:lang w:val="es-PE"/>
              </w:rPr>
              <w:t xml:space="preserve"> center. </w:t>
            </w:r>
            <w:r>
              <w:t>Afecta a: clientes con alta probabilidad de cancelar.</w:t>
            </w:r>
          </w:p>
        </w:tc>
      </w:tr>
    </w:tbl>
    <w:p w14:paraId="303D8CD0" w14:textId="77777777" w:rsidR="00494837" w:rsidRDefault="00494837">
      <w:pPr>
        <w:spacing w:after="40"/>
      </w:pP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494837" w14:paraId="277C26CB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FC288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3 · Pregunta analítica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6B35F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4 · KPI</w:t>
            </w:r>
          </w:p>
        </w:tc>
      </w:tr>
      <w:tr w:rsidR="00494837" w14:paraId="1B4597E9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90712" w14:textId="77777777" w:rsidR="00494837" w:rsidRDefault="00014CDA">
            <w:r w:rsidRPr="004018D8">
              <w:rPr>
                <w:lang w:val="es-PE"/>
              </w:rPr>
              <w:t>¿Qué clientes tienen más probabilidad de darse de baja? Unidad: un cliente por fila. Variable objetivo: Churn (sí o no).</w:t>
            </w:r>
            <w:r/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128C2" w14:textId="77777777" w:rsidR="00494837" w:rsidRDefault="00014CDA">
            <w:r w:rsidRPr="004018D8">
              <w:rPr>
                <w:lang w:val="es-PE"/>
              </w:rPr>
              <w:t>Tasa de fuga = clientes que se dieron de baja / total de clientes × 100. Línea base: 26.54 (1 869 de 7 043 clientes). Meta de referencia: bajar a unos 21.23 de cada 100.</w:t>
            </w:r>
            <w:r/>
          </w:p>
        </w:tc>
      </w:tr>
    </w:tbl>
    <w:p w14:paraId="57E17BAB" w14:textId="77777777" w:rsidR="00494837" w:rsidRDefault="00494837">
      <w:pPr>
        <w:spacing w:after="40"/>
      </w:pP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494837" w14:paraId="6CE47819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2278A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5 · Datos y fuentes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3997E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6 · Riesgos</w:t>
            </w:r>
          </w:p>
        </w:tc>
      </w:tr>
      <w:tr w:rsidR="00494837" w:rsidRPr="004018D8" w14:paraId="21EFDC68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052F1" w14:textId="77777777" w:rsidR="00494837" w:rsidRDefault="00014CDA">
            <w:proofErr w:type="spellStart"/>
            <w:r w:rsidRPr="004018D8">
              <w:rPr>
                <w:lang w:val="es-PE"/>
              </w:rPr>
              <w:t>Telco Customer Churn (Kaggle): 7 043 clientes y 21 columnas con servicios, cargos, meses de antigüedad y si se dio de baja. Foto de un solo momento. Descargado el 22/10/2026. Hay que tener cuenta gratuita.</w:t>
            </w:r>
            <w:proofErr w:type="spellEnd"/>
            <w:r w:rsidRPr="004018D8">
              <w:rPr>
                <w:lang w:val="es-PE"/>
              </w:rPr>
            </w:r>
            <w:proofErr w:type="spellStart"/>
            <w:r w:rsidRPr="004018D8">
              <w:rPr>
                <w:lang w:val="es-PE"/>
              </w:rPr>
            </w:r>
            <w:proofErr w:type="spellEnd"/>
            <w:r w:rsidRPr="004018D8">
              <w:rPr>
                <w:lang w:val="es-PE"/>
              </w:rPr>
            </w:r>
            <w:proofErr w:type="spellStart"/>
            <w:r w:rsidRPr="004018D8">
              <w:rPr>
                <w:lang w:val="es-PE"/>
              </w:rPr>
            </w:r>
            <w:proofErr w:type="spellEnd"/>
            <w:r w:rsidRPr="004018D8">
              <w:rPr>
                <w:lang w:val="es-PE"/>
              </w:rPr>
            </w:r>
            <w:proofErr w:type="spellStart"/>
            <w:r w:rsidRPr="004018D8">
              <w:rPr>
                <w:lang w:val="es-PE"/>
              </w:rPr>
            </w:r>
            <w:proofErr w:type="spellEnd"/>
            <w:r w:rsidRPr="004018D8">
              <w:rPr>
                <w:lang w:val="es-PE"/>
              </w:rPr>
            </w:r>
            <w:proofErr w:type="spellStart"/>
            <w:r w:rsidRPr="004018D8">
              <w:rPr>
                <w:lang w:val="es-PE"/>
              </w:rPr>
            </w:r>
            <w:proofErr w:type="spellEnd"/>
            <w:r w:rsidRPr="004018D8">
              <w:rPr>
                <w:lang w:val="es-PE"/>
              </w:rPr>
            </w:r>
            <w:proofErr w:type="spellStart"/>
            <w:r w:rsidRPr="004018D8">
              <w:rPr>
                <w:lang w:val="es-PE"/>
              </w:rPr>
            </w:r>
            <w:proofErr w:type="spellEnd"/>
            <w:r w:rsidRPr="004018D8">
              <w:rPr>
                <w:lang w:val="es-PE"/>
              </w:rPr>
            </w:r>
            <w:r/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AA4C5" w14:textId="77777777" w:rsidR="00494837" w:rsidRPr="004018D8" w:rsidRDefault="00014CDA">
            <w:pPr>
              <w:rPr>
                <w:lang w:val="es-PE"/>
              </w:rPr>
            </w:pPr>
            <w:proofErr w:type="spellStart"/>
            <w:r w:rsidRPr="004018D8">
              <w:rPr>
                <w:lang w:val="es-PE"/>
              </w:rPr>
              <w:t>Reidentificación</w:t>
            </w:r>
            <w:proofErr w:type="spellEnd"/>
            <w:r w:rsidRPr="004018D8">
              <w:rPr>
                <w:lang w:val="es-PE"/>
              </w:rPr>
              <w:t xml:space="preserve"> de clientes; sesgo contra segmentos (edad, tipo de contrato); costo desigual de falsos positivos/negativos en la campaña.</w:t>
            </w:r>
          </w:p>
        </w:tc>
      </w:tr>
    </w:tbl>
    <w:p w14:paraId="09E73629" w14:textId="77777777" w:rsidR="00494837" w:rsidRPr="004018D8" w:rsidRDefault="00494837">
      <w:pPr>
        <w:spacing w:after="40"/>
        <w:rPr>
          <w:lang w:val="es-PE"/>
        </w:rPr>
      </w:pP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494837" w14:paraId="4E469852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5751A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7 · Criterio de éxito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A0E63" w14:textId="77777777" w:rsidR="00494837" w:rsidRDefault="00014CDA">
            <w:pPr>
              <w:spacing w:after="0"/>
            </w:pPr>
            <w:r>
              <w:rPr>
                <w:b/>
                <w:color w:val="FFFFFF"/>
                <w:sz w:val="19"/>
              </w:rPr>
              <w:t>8 · Técnica candidata (solo nombre)</w:t>
            </w:r>
          </w:p>
        </w:tc>
      </w:tr>
      <w:tr w:rsidR="00494837" w14:paraId="0917C4B8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E7004" w14:textId="77777777" w:rsidR="00494837" w:rsidRPr="004018D8" w:rsidRDefault="00014CDA">
            <w:pPr>
              <w:rPr>
                <w:lang w:val="es-PE"/>
              </w:rPr>
            </w:pPr>
            <w:r w:rsidRPr="004018D8">
              <w:rPr>
                <w:lang w:val="es-PE"/>
              </w:rPr>
              <w:t>Bajar la tasa de fuga en una quinta parte (de 26.54 a unos 21.23 de cada 100), llamando primero a los clientes con más riesgo de irse. El modelo debe acertar más que una predicción simple, como decir que nadie se da de baja.</w:t>
            </w:r>
            <w:proofErr w:type="spellStart"/>
            <w:r w:rsidRPr="004018D8">
              <w:rPr>
                <w:lang w:val="es-PE"/>
              </w:rPr>
            </w:r>
            <w:proofErr w:type="spellEnd"/>
            <w:r w:rsidRPr="004018D8">
              <w:rPr>
                <w:lang w:val="es-PE"/>
              </w:rPr>
            </w:r>
            <w:proofErr w:type="spellStart"/>
            <w:r w:rsidRPr="004018D8">
              <w:rPr>
                <w:lang w:val="es-PE"/>
              </w:rPr>
            </w:r>
            <w:proofErr w:type="spellEnd"/>
            <w:r w:rsidRPr="004018D8">
              <w:rPr>
                <w:lang w:val="es-PE"/>
              </w:rPr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BEC5F" w14:textId="21ECBEA4" w:rsidR="00494837" w:rsidRDefault="00014CDA">
            <w:r>
              <w:t>Regresión logística</w:t>
            </w:r>
          </w:p>
        </w:tc>
      </w:tr>
    </w:tbl>
    <w:p w14:paraId="6FE26FE7" w14:textId="77777777" w:rsidR="00494837" w:rsidRDefault="00494837">
      <w:pPr>
        <w:spacing w:after="40"/>
      </w:pPr>
    </w:p>
    <w:p w14:paraId="5CEBDF70" w14:textId="77777777" w:rsidR="00494837" w:rsidRPr="004018D8" w:rsidRDefault="00014CDA">
      <w:pPr>
        <w:pBdr>
          <w:left w:val="single" w:sz="20" w:space="6" w:color="E4002B"/>
        </w:pBdr>
        <w:shd w:val="clear" w:color="auto" w:fill="FCEDEE"/>
        <w:spacing w:before="80" w:after="120"/>
        <w:ind w:left="283" w:right="113"/>
        <w:rPr>
          <w:lang w:val="es-PE"/>
        </w:rPr>
      </w:pPr>
      <w:r w:rsidRPr="004018D8">
        <w:rPr>
          <w:i/>
          <w:lang w:val="es-PE"/>
        </w:rPr>
        <w:t>Orden sugerido de llenado: 1 → 2 → 3 → 4 → 5 → 6 → 7 → 8. La técnica se elige al final, nunca al inicio: primero la decisión de negocio, después el método.</w:t>
      </w:r>
    </w:p>
    <w:sectPr w:rsidR="00494837" w:rsidRPr="004018D8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C333" w14:textId="77777777" w:rsidR="0092376D" w:rsidRDefault="0092376D">
      <w:pPr>
        <w:spacing w:after="0" w:line="240" w:lineRule="auto"/>
      </w:pPr>
      <w:r>
        <w:separator/>
      </w:r>
    </w:p>
  </w:endnote>
  <w:endnote w:type="continuationSeparator" w:id="0">
    <w:p w14:paraId="13E5F33E" w14:textId="77777777" w:rsidR="0092376D" w:rsidRDefault="0092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6053" w14:textId="77777777" w:rsidR="00494837" w:rsidRPr="004018D8" w:rsidRDefault="00014CDA">
    <w:pPr>
      <w:pStyle w:val="Piedepgina"/>
      <w:pBdr>
        <w:top w:val="single" w:sz="4" w:space="2" w:color="D9D9D9"/>
      </w:pBdr>
      <w:jc w:val="center"/>
      <w:rPr>
        <w:lang w:val="es-PE"/>
      </w:rPr>
    </w:pPr>
    <w:r w:rsidRPr="004018D8">
      <w:rPr>
        <w:color w:val="6E6E6E"/>
        <w:sz w:val="16"/>
        <w:lang w:val="es-PE"/>
      </w:rPr>
      <w:t xml:space="preserve">Herramientas de Ciencias de Datos · UPC · Facultad de Negocios     |     </w:t>
    </w:r>
    <w:r>
      <w:rPr>
        <w:color w:val="6E6E6E"/>
        <w:sz w:val="16"/>
      </w:rPr>
      <w:fldChar w:fldCharType="begin"/>
    </w:r>
    <w:r w:rsidRPr="004018D8">
      <w:rPr>
        <w:color w:val="6E6E6E"/>
        <w:sz w:val="16"/>
        <w:lang w:val="es-PE"/>
      </w:rPr>
      <w:instrText>PAGE</w:instrTex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9DDAB" w14:textId="77777777" w:rsidR="0092376D" w:rsidRDefault="0092376D">
      <w:pPr>
        <w:spacing w:after="0" w:line="240" w:lineRule="auto"/>
      </w:pPr>
      <w:r>
        <w:separator/>
      </w:r>
    </w:p>
  </w:footnote>
  <w:footnote w:type="continuationSeparator" w:id="0">
    <w:p w14:paraId="4D420ADE" w14:textId="77777777" w:rsidR="0092376D" w:rsidRDefault="00923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833F2" w14:textId="77777777" w:rsidR="00494837" w:rsidRDefault="00014CDA">
    <w:pPr>
      <w:pStyle w:val="Encabezado"/>
      <w:pBdr>
        <w:bottom w:val="single" w:sz="6" w:space="2" w:color="E4002B"/>
      </w:pBdr>
      <w:jc w:val="right"/>
    </w:pPr>
    <w:r>
      <w:rPr>
        <w:color w:val="6E6E6E"/>
        <w:sz w:val="16"/>
      </w:rPr>
      <w:t>Canvas de proyecto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323322">
    <w:abstractNumId w:val="8"/>
  </w:num>
  <w:num w:numId="2" w16cid:durableId="2043507373">
    <w:abstractNumId w:val="6"/>
  </w:num>
  <w:num w:numId="3" w16cid:durableId="1851293268">
    <w:abstractNumId w:val="5"/>
  </w:num>
  <w:num w:numId="4" w16cid:durableId="799689515">
    <w:abstractNumId w:val="4"/>
  </w:num>
  <w:num w:numId="5" w16cid:durableId="1099333180">
    <w:abstractNumId w:val="7"/>
  </w:num>
  <w:num w:numId="6" w16cid:durableId="1116753503">
    <w:abstractNumId w:val="3"/>
  </w:num>
  <w:num w:numId="7" w16cid:durableId="1668971227">
    <w:abstractNumId w:val="2"/>
  </w:num>
  <w:num w:numId="8" w16cid:durableId="74403260">
    <w:abstractNumId w:val="1"/>
  </w:num>
  <w:num w:numId="9" w16cid:durableId="22958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CDA"/>
    <w:rsid w:val="00034616"/>
    <w:rsid w:val="0006063C"/>
    <w:rsid w:val="0015074B"/>
    <w:rsid w:val="0029639D"/>
    <w:rsid w:val="00326F90"/>
    <w:rsid w:val="004018D8"/>
    <w:rsid w:val="00465A38"/>
    <w:rsid w:val="00494837"/>
    <w:rsid w:val="005F229F"/>
    <w:rsid w:val="0092376D"/>
    <w:rsid w:val="00AA1D8D"/>
    <w:rsid w:val="00B47730"/>
    <w:rsid w:val="00CB0664"/>
    <w:rsid w:val="00E14732"/>
    <w:rsid w:val="00E61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95FEB"/>
  <w14:defaultImageDpi w14:val="300"/>
  <w15:docId w15:val="{BEEE4A99-1D3E-4FE5-B848-00EF479D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Romina Enriquez</cp:lastModifiedBy>
  <cp:revision>2</cp:revision>
  <dcterms:created xsi:type="dcterms:W3CDTF">2026-10-22T17:05:00Z</dcterms:created>
  <dcterms:modified xsi:type="dcterms:W3CDTF">2026-10-22T17:05:00Z</dcterms:modified>
  <cp:category/>
</cp:coreProperties>
</file>