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before="0" w:lineRule="auto"/>
        <w:rPr/>
      </w:pPr>
      <w:r w:rsidDel="00000000" w:rsidR="00000000" w:rsidRPr="00000000">
        <w:rPr>
          <w:sz w:val="24"/>
          <w:szCs w:val="24"/>
          <w:rtl w:val="0"/>
        </w:rPr>
        <w:t xml:space="preserve">Plan de modelado: Predicción de churn en telecomunicaciones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before="0" w:lineRule="auto"/>
        <w:rPr/>
      </w:pPr>
      <w:r w:rsidDel="00000000" w:rsidR="00000000" w:rsidRPr="00000000">
        <w:rPr>
          <w:rtl w:val="0"/>
        </w:rPr>
        <w:t xml:space="preserve">1. Punto de partida</w:t>
      </w:r>
    </w:p>
    <w:p w:rsidR="00000000" w:rsidDel="00000000" w:rsidP="00000000" w:rsidRDefault="00000000" w:rsidRPr="00000000" w14:paraId="00000003">
      <w:pPr>
        <w:numPr>
          <w:ilvl w:val="0"/>
          <w:numId w:val="4"/>
        </w:numPr>
        <w:spacing w:after="20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Pregunta analítica: ¿qué clientes tienen más probabilidad de darse de baja, para decidir a cuáles ofrecerles una promoción de retención?</w:t>
      </w:r>
    </w:p>
    <w:p w:rsidR="00000000" w:rsidDel="00000000" w:rsidP="00000000" w:rsidRDefault="00000000" w:rsidRPr="00000000" w14:paraId="00000004">
      <w:pPr>
        <w:numPr>
          <w:ilvl w:val="0"/>
          <w:numId w:val="4"/>
        </w:numPr>
        <w:spacing w:after="20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Unidad de análisis y variable objetivo: un cliente por fila, </w:t>
      </w:r>
      <w:r w:rsidDel="00000000" w:rsidR="00000000" w:rsidRPr="00000000">
        <w:rPr>
          <w:b w:val="1"/>
          <w:bCs w:val="1"/>
          <w:rtl w:val="0"/>
        </w:rPr>
        <w:t xml:space="preserve">Churn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es binaria (1 = se dio de baja)</w:t>
      </w:r>
    </w:p>
    <w:p w:rsidR="00000000" w:rsidDel="00000000" w:rsidP="00000000" w:rsidRDefault="00000000" w:rsidRPr="00000000" w14:paraId="00000005">
      <w:pPr>
        <w:numPr>
          <w:ilvl w:val="0"/>
          <w:numId w:val="4"/>
        </w:numPr>
        <w:spacing w:after="20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KPI: tasa de fuga = clientes que se dieron de baja / total de clientes × 100. Línea base de 26.54% (1869 de 7043 clientes) y meta de referencia de unos 21.23%.</w:t>
      </w:r>
    </w:p>
    <w:p w:rsidR="00000000" w:rsidDel="00000000" w:rsidP="00000000" w:rsidRDefault="00000000" w:rsidRPr="00000000" w14:paraId="00000006">
      <w:pPr>
        <w:numPr>
          <w:ilvl w:val="0"/>
          <w:numId w:val="4"/>
        </w:numPr>
        <w:spacing w:after="20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Fuente: Telco Customer Churn (Kaggle) datos de ejemplo de IBM, obtenidos el 22/10/2026: 7043 clientes y 21 columnas.</w:t>
      </w:r>
    </w:p>
    <w:p w:rsidR="00000000" w:rsidDel="00000000" w:rsidP="00000000" w:rsidRDefault="00000000" w:rsidRPr="00000000" w14:paraId="00000007">
      <w:pPr>
        <w:numPr>
          <w:ilvl w:val="0"/>
          <w:numId w:val="4"/>
        </w:numPr>
        <w:spacing w:after="20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Datos ya preparados (cuaderno </w:t>
      </w:r>
      <w:r w:rsidDel="00000000" w:rsidR="00000000" w:rsidRPr="00000000">
        <w:rPr>
          <w:rtl w:val="0"/>
        </w:rPr>
        <w:t xml:space="preserve">02_comprension_preparacion</w:t>
      </w:r>
      <w:r w:rsidDel="00000000" w:rsidR="00000000" w:rsidRPr="00000000">
        <w:rPr>
          <w:rtl w:val="0"/>
        </w:rPr>
        <w:t xml:space="preserve">): partición 80% / 20% estratificada con semilla 42, con 5634 clientes de entrenamiento y 1409 de prueba (26.54% de bajas en ambos), 20 variables para modelar que tras la codificación son 26 columnas. </w:t>
      </w:r>
      <w:r w:rsidDel="00000000" w:rsidR="00000000" w:rsidRPr="00000000">
        <w:rPr>
          <w:rtl w:val="0"/>
        </w:rPr>
        <w:t xml:space="preserve">gender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rtl w:val="0"/>
        </w:rPr>
        <w:t xml:space="preserve">SeniorCitizen</w:t>
      </w:r>
      <w:r w:rsidDel="00000000" w:rsidR="00000000" w:rsidRPr="00000000">
        <w:rPr>
          <w:rtl w:val="0"/>
        </w:rPr>
        <w:t xml:space="preserve"> quedan fuera del modelo y se guardan solo para revisar sesgos.</w:t>
      </w:r>
    </w:p>
    <w:p w:rsidR="00000000" w:rsidDel="00000000" w:rsidP="00000000" w:rsidRDefault="00000000" w:rsidRPr="00000000" w14:paraId="00000008">
      <w:pPr>
        <w:spacing w:after="200" w:before="0" w:lineRule="auto"/>
        <w:rPr/>
      </w:pPr>
      <w:r w:rsidDel="00000000" w:rsidR="00000000" w:rsidRPr="00000000">
        <w:rPr>
          <w:rtl w:val="0"/>
        </w:rPr>
        <w:t xml:space="preserve">Consecuencia para el modelado: es un problema de clasificación binaria con clases desbalanceadas (26.54% de bajas frente a 73.46% de permanencias) y los datos son una foto de un solo momento sin fechas. Ambas cosas condicionan que técnicas sirven, como se parten los datos y qué métricas se usan. </w:t>
      </w:r>
    </w:p>
    <w:p w:rsidR="00000000" w:rsidDel="00000000" w:rsidP="00000000" w:rsidRDefault="00000000" w:rsidRPr="00000000" w14:paraId="00000009">
      <w:pPr>
        <w:spacing w:after="200" w:before="0" w:lineRule="auto"/>
        <w:rPr/>
      </w:pPr>
      <w:r w:rsidDel="00000000" w:rsidR="00000000" w:rsidRPr="00000000">
        <w:rPr>
          <w:rtl w:val="0"/>
        </w:rPr>
        <w:t xml:space="preserve">Que mostraron los datos y que implica para el modelado:</w:t>
      </w:r>
    </w:p>
    <w:p w:rsidR="00000000" w:rsidDel="00000000" w:rsidP="00000000" w:rsidRDefault="00000000" w:rsidRPr="00000000" w14:paraId="0000000A">
      <w:pPr>
        <w:spacing w:after="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552.9785156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Hallazgo (cuaderno 02)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Implicación para el plan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La fuga baja con la antigüedad: 47.44% entre 0 y 12 meses y 9.51% entre 49 y 72 meses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La antigüedad es una señal central y justifica el análisis de supervivencia, que modela el tiempo hasta la baja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contrato mes a mes tiene 42.71% de fuga y el de dos años 2.83%, el cheque electrónico llega a 45.29%. </w:t>
            </w:r>
            <w:r w:rsidDel="00000000" w:rsidR="00000000" w:rsidRPr="00000000">
              <w:rPr>
                <w:rtl w:val="0"/>
              </w:rPr>
              <w:t xml:space="preserve">Contract</w:t>
            </w:r>
            <w:r w:rsidDel="00000000" w:rsidR="00000000" w:rsidRPr="00000000">
              <w:rPr>
                <w:rtl w:val="0"/>
              </w:rPr>
              <w:t xml:space="preserve"> es la variable más asociada a la baja (V de Cramér 0.41)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Son los primeros grupos candidatos para las campañas de retención y se incluyen en la revisión de equidad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La fuga no sube de forma pareja con el número de servicios: 44.92% con 3 servicios y 5.29% con 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La relación no es lineal, por eso se prueba un clasificador clásico además de la regresión logística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tenure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tl w:val="0"/>
              </w:rPr>
              <w:t xml:space="preserve">MonthlyCharges</w:t>
            </w:r>
            <w:r w:rsidDel="00000000" w:rsidR="00000000" w:rsidRPr="00000000">
              <w:rPr>
                <w:rtl w:val="0"/>
              </w:rPr>
              <w:t xml:space="preserve"> y </w:t>
            </w:r>
            <w:r w:rsidDel="00000000" w:rsidR="00000000" w:rsidRPr="00000000">
              <w:rPr>
                <w:rtl w:val="0"/>
              </w:rPr>
              <w:t xml:space="preserve">TotalCharges</w:t>
            </w:r>
            <w:r w:rsidDel="00000000" w:rsidR="00000000" w:rsidRPr="00000000">
              <w:rPr>
                <w:rtl w:val="0"/>
              </w:rPr>
              <w:t xml:space="preserve"> están muy relacionadas: </w:t>
            </w:r>
            <w:r w:rsidDel="00000000" w:rsidR="00000000" w:rsidRPr="00000000">
              <w:rPr>
                <w:rtl w:val="0"/>
              </w:rPr>
              <w:t xml:space="preserve">TotalCharges</w:t>
            </w:r>
            <w:r w:rsidDel="00000000" w:rsidR="00000000" w:rsidRPr="00000000">
              <w:rPr>
                <w:rtl w:val="0"/>
              </w:rPr>
              <w:t xml:space="preserve"> es casi la antigüedad por el cargo mensual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Hay riesgo de variables redundantes en la regresión logística, lo que justifica su versión regularizada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Los 11 clientes con </w:t>
            </w:r>
            <w:r w:rsidDel="00000000" w:rsidR="00000000" w:rsidRPr="00000000">
              <w:rPr>
                <w:rtl w:val="0"/>
              </w:rPr>
              <w:t xml:space="preserve">TotalCharges</w:t>
            </w:r>
            <w:r w:rsidDel="00000000" w:rsidR="00000000" w:rsidRPr="00000000">
              <w:rPr>
                <w:rtl w:val="0"/>
              </w:rPr>
              <w:t xml:space="preserve"> en blanco tienen 0 meses de antigüedad y ninguno se dio de baja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Se rellenaron con 0 en la preparación; en supervivencia se excluyen porque su tiempo es 0</w:t>
            </w:r>
          </w:p>
        </w:tc>
      </w:tr>
    </w:tbl>
    <w:p w:rsidR="00000000" w:rsidDel="00000000" w:rsidP="00000000" w:rsidRDefault="00000000" w:rsidRPr="00000000" w14:paraId="00000017">
      <w:pPr>
        <w:spacing w:after="200" w:before="0" w:lineRule="auto"/>
        <w:rPr/>
      </w:pPr>
      <w:r w:rsidDel="00000000" w:rsidR="00000000" w:rsidRPr="00000000">
        <w:rPr>
          <w:rtl w:val="0"/>
        </w:rPr>
        <w:t xml:space="preserve">2. Tecnicas Candidatas</w:t>
      </w:r>
    </w:p>
    <w:tbl>
      <w:tblPr>
        <w:tblStyle w:val="Table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Técnica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Qué aporta al problema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Papel en el plan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Regresión logística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Estima la probabilidad de baja de cada cliente y es fácil de explicar al área de retención.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Modelo base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Regresión logística regularizada: Ridge, Lasso, Elastic Net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Controla la complejidad cuando hay variables muy relacionadas entre sí (antigüedad, cargo mensual y cargo total) y ayuda a ver cuáles pesan más.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Refinamiento del modelo base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Clasificador clásico (árbol de decisión, bosque aleatorio o boosting)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Captura relaciones no lineales, como el pico de fuga con 3 servicios, y combinaciones como contrato mes a mes con cargo alto.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Modelo de comparación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Análisis de supervivencia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Usa la antigüedad como tiempo y la baja como evento: dice cuándo es más probable que se vaya el cliente, no solo quién.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Segunda familia de técnicas (prevista para el Hito 2)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Segmentación (clustering)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Agrupa clientes en perfiles para diseñar promociones distintas por grupo.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Complementaria, solo si hay tiempo</w:t>
            </w:r>
          </w:p>
        </w:tc>
      </w:tr>
    </w:tbl>
    <w:p w:rsidR="00000000" w:rsidDel="00000000" w:rsidP="00000000" w:rsidRDefault="00000000" w:rsidRPr="00000000" w14:paraId="0000002A">
      <w:pPr>
        <w:spacing w:after="2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200" w:before="0" w:lineRule="auto"/>
        <w:rPr/>
      </w:pPr>
      <w:r w:rsidDel="00000000" w:rsidR="00000000" w:rsidRPr="00000000">
        <w:rPr>
          <w:rtl w:val="0"/>
        </w:rPr>
        <w:t xml:space="preserve">Combinación prevista: la familia de clasificación (logistica, regularizada y clasificador clasico) es el nucleo, porque responde directamente a la pregunta de negocio. La supervivencia aporta la dimensión del tiempo y refuerza la decisión de a quién llamar primero.</w:t>
      </w:r>
    </w:p>
    <w:p w:rsidR="00000000" w:rsidDel="00000000" w:rsidP="00000000" w:rsidRDefault="00000000" w:rsidRPr="00000000" w14:paraId="0000002C">
      <w:pPr>
        <w:spacing w:after="200" w:before="0" w:lineRule="auto"/>
        <w:rPr/>
      </w:pPr>
      <w:r w:rsidDel="00000000" w:rsidR="00000000" w:rsidRPr="00000000">
        <w:rPr>
          <w:rtl w:val="0"/>
        </w:rPr>
        <w:t xml:space="preserve">3. Alternativas consideradas y descartadas</w:t>
      </w:r>
    </w:p>
    <w:tbl>
      <w:tblPr>
        <w:tblStyle w:val="Table3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435"/>
        <w:gridCol w:w="5565"/>
        <w:tblGridChange w:id="0">
          <w:tblGrid>
            <w:gridCol w:w="3435"/>
            <w:gridCol w:w="556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Técnica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Razón para descartarla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Regresión lineal simple o múltiple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La variable objetivo es binaria, una regresión lineal puede predecir valores fuera de 0 y 1 y no da una probabilidad confiable.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Series temporales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Los datos no tienen fechas, así que no hay serie que pronosticar.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Inferencia causal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se observa qué clientes recibieron una promoción ni su respuesta, sin intervención ni grupo de control no se puede medir el efecto de la campaña.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Sistemas de recomendación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hay historial de interacciones usuario-ítem, el problema es estimar riesgo, no sugerir productos.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Reglas de asociación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Describen qué servicios se contratan juntos, pero no estiman el riesgo de baja de cada cliente.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Reducción de dimensionalidad (PCA, t-SNE, UMAP)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 20 variables, en su mayoría categóricas e interpretables, condensar variables restaría explicabilidad sin una ganancia clara.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Clustering como técnica principal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Agrupa clientes pero no predice la baja; se mantiene solo como apoyo.</w:t>
            </w:r>
          </w:p>
        </w:tc>
      </w:tr>
    </w:tbl>
    <w:p w:rsidR="00000000" w:rsidDel="00000000" w:rsidP="00000000" w:rsidRDefault="00000000" w:rsidRPr="00000000" w14:paraId="0000003D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200" w:before="0" w:lineRule="auto"/>
        <w:rPr/>
      </w:pPr>
      <w:r w:rsidDel="00000000" w:rsidR="00000000" w:rsidRPr="00000000">
        <w:rPr>
          <w:rtl w:val="0"/>
        </w:rPr>
        <w:t xml:space="preserve">4. Metodología de evaluación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spacing w:after="20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Partición (ya hecha en el cuaderno 02): 80% entrenamiento (5634 clientes) y 20% prueba (1409), estratificada por </w:t>
      </w:r>
      <w:r w:rsidDel="00000000" w:rsidR="00000000" w:rsidRPr="00000000">
        <w:rPr>
          <w:b w:val="1"/>
          <w:bCs w:val="1"/>
          <w:rtl w:val="0"/>
        </w:rPr>
        <w:t xml:space="preserve">Churn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y con semilla 42, ambos conjuntos tienen 26.54% de bajas. No se usa partición temporal porque los datos no tienen fechas.</w:t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spacing w:after="20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Selección de modelos: validación cruzada estratificada de 5 pliegues solo sobre el conjunto de entrenamiento. El conjunto de prueba se usa una sola vez, al final.</w:t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spacing w:after="20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Prevención de fuga de información: el preprocesamiento ya se ajustó solo con entrenamiento. Para la validación cruzada hay que repetirlo dentro de cada pliegue (con un pipeline) partiendo de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telco_limpio.csv</w:t>
      </w:r>
      <w:r w:rsidDel="00000000" w:rsidR="00000000" w:rsidRPr="00000000">
        <w:rPr>
          <w:rtl w:val="0"/>
        </w:rPr>
        <w:t xml:space="preserve">, porque en los archivos ya escalados el escalador vio los datos de todos los pliegues. </w:t>
      </w:r>
      <w:r w:rsidDel="00000000" w:rsidR="00000000" w:rsidRPr="00000000">
        <w:rPr>
          <w:b w:val="1"/>
          <w:bCs w:val="1"/>
          <w:rtl w:val="0"/>
        </w:rPr>
        <w:t xml:space="preserve">customerID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y las columnas </w:t>
      </w:r>
      <w:r w:rsidDel="00000000" w:rsidR="00000000" w:rsidRPr="00000000">
        <w:rPr>
          <w:b w:val="1"/>
          <w:bCs w:val="1"/>
          <w:rtl w:val="0"/>
        </w:rPr>
        <w:t xml:space="preserve">aud_*</w:t>
      </w:r>
      <w:r w:rsidDel="00000000" w:rsidR="00000000" w:rsidRPr="00000000">
        <w:rPr>
          <w:rtl w:val="0"/>
        </w:rPr>
        <w:t xml:space="preserve"> no entran como variables.</w:t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spacing w:after="20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Línea base de comparación: la predicción simple «nadie se da de baja» acierta el 73.46% pero detecta 0% de las bajas. Todo modelo debe superarla en las métricas que importan.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spacing w:after="20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Métricas:</w:t>
      </w:r>
    </w:p>
    <w:p w:rsidR="00000000" w:rsidDel="00000000" w:rsidP="00000000" w:rsidRDefault="00000000" w:rsidRPr="00000000" w14:paraId="00000044">
      <w:pPr>
        <w:spacing w:after="200" w:before="0" w:lineRule="auto"/>
        <w:ind w:left="720" w:firstLine="0"/>
        <w:rPr/>
      </w:pPr>
      <w:r w:rsidDel="00000000" w:rsidR="00000000" w:rsidRPr="00000000">
        <w:rPr>
          <w:rtl w:val="0"/>
        </w:rPr>
        <w:t xml:space="preserve">- ROC-AUC y PR-AUC: capacidad de ordenar a los clientes por riesgo con PR-AUC como métrica clave por el desbalance.</w:t>
      </w:r>
    </w:p>
    <w:p w:rsidR="00000000" w:rsidDel="00000000" w:rsidP="00000000" w:rsidRDefault="00000000" w:rsidRPr="00000000" w14:paraId="00000045">
      <w:pPr>
        <w:spacing w:after="200" w:before="0" w:lineRule="auto"/>
        <w:ind w:left="720" w:firstLine="0"/>
        <w:rPr/>
      </w:pPr>
      <w:r w:rsidDel="00000000" w:rsidR="00000000" w:rsidRPr="00000000">
        <w:rPr>
          <w:rtl w:val="0"/>
        </w:rPr>
        <w:t xml:space="preserve">- Recall y precisión en el umbral elegido y F1 como resumen.</w:t>
      </w:r>
    </w:p>
    <w:p w:rsidR="00000000" w:rsidDel="00000000" w:rsidP="00000000" w:rsidRDefault="00000000" w:rsidRPr="00000000" w14:paraId="00000046">
      <w:pPr>
        <w:spacing w:after="200" w:before="0" w:lineRule="auto"/>
        <w:ind w:left="720" w:firstLine="0"/>
        <w:rPr/>
      </w:pPr>
      <w:r w:rsidDel="00000000" w:rsidR="00000000" w:rsidRPr="00000000">
        <w:rPr>
          <w:rtl w:val="0"/>
        </w:rPr>
        <w:t xml:space="preserve">- Captura de bajas en el 10% y el 20% de clientes con mayor riesgo (lift): refleja una campaña con presupuesto limitado.</w:t>
      </w:r>
    </w:p>
    <w:p w:rsidR="00000000" w:rsidDel="00000000" w:rsidP="00000000" w:rsidRDefault="00000000" w:rsidRPr="00000000" w14:paraId="00000047">
      <w:pPr>
        <w:spacing w:after="200" w:before="0" w:lineRule="auto"/>
        <w:ind w:left="720" w:firstLine="0"/>
        <w:rPr/>
      </w:pPr>
      <w:r w:rsidDel="00000000" w:rsidR="00000000" w:rsidRPr="00000000">
        <w:rPr>
          <w:rtl w:val="0"/>
        </w:rPr>
        <w:t xml:space="preserve">- La exactitud se reporta solo como referencia, porque con clases desbalanceadas engaña.</w:t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spacing w:after="20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Umbral de decisión: se elegirá según el costo de cada error (no detectar a quien se iba frente a gastar promoción en quien se quedaba), con cifras ilustrativas acordadas por el equipo.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spacing w:after="20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Revisión de equidad: comparar el desempeño por género y por adultos mayores (columnas </w:t>
      </w:r>
      <w:r w:rsidDel="00000000" w:rsidR="00000000" w:rsidRPr="00000000">
        <w:rPr>
          <w:b w:val="1"/>
          <w:bCs w:val="1"/>
          <w:rtl w:val="0"/>
        </w:rPr>
        <w:t xml:space="preserve">aud_gender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y </w:t>
      </w:r>
      <w:r w:rsidDel="00000000" w:rsidR="00000000" w:rsidRPr="00000000">
        <w:rPr>
          <w:b w:val="1"/>
          <w:bCs w:val="1"/>
          <w:rtl w:val="0"/>
        </w:rPr>
        <w:t xml:space="preserve">aud_SeniorCitizen</w:t>
      </w:r>
      <w:r w:rsidDel="00000000" w:rsidR="00000000" w:rsidRPr="00000000">
        <w:rPr>
          <w:rtl w:val="0"/>
        </w:rPr>
        <w:t xml:space="preserve">, que no entran al modelo) y por tipo de contrato, como indica la ficha en sus riesgos.</w:t>
      </w:r>
    </w:p>
    <w:p w:rsidR="00000000" w:rsidDel="00000000" w:rsidP="00000000" w:rsidRDefault="00000000" w:rsidRPr="00000000" w14:paraId="0000004A">
      <w:pPr>
        <w:numPr>
          <w:ilvl w:val="0"/>
          <w:numId w:val="3"/>
        </w:numPr>
        <w:spacing w:after="20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Supervivencia: se trabaja con </w:t>
      </w:r>
      <w:r w:rsidDel="00000000" w:rsidR="00000000" w:rsidRPr="00000000">
        <w:rPr>
          <w:b w:val="1"/>
          <w:bCs w:val="1"/>
          <w:rtl w:val="0"/>
        </w:rPr>
        <w:t xml:space="preserve">telco_limpio.csv</w:t>
      </w:r>
      <w:r w:rsidDel="00000000" w:rsidR="00000000" w:rsidRPr="00000000">
        <w:rPr>
          <w:rtl w:val="0"/>
        </w:rPr>
        <w:t xml:space="preserve"> (antigüedad en meses sin escalar) y sin los 11 clientes de antigüedad 0, curvas de Kaplan-Meier por segmento e índice de concordancia para comparar modelos.</w:t>
      </w:r>
    </w:p>
    <w:p w:rsidR="00000000" w:rsidDel="00000000" w:rsidP="00000000" w:rsidRDefault="00000000" w:rsidRPr="00000000" w14:paraId="0000004B">
      <w:pPr>
        <w:keepNext w:val="0"/>
        <w:keepLines w:val="0"/>
        <w:spacing w:after="200" w:before="0" w:lineRule="auto"/>
        <w:rPr/>
      </w:pPr>
      <w:r w:rsidDel="00000000" w:rsidR="00000000" w:rsidRPr="00000000">
        <w:rPr>
          <w:rtl w:val="0"/>
        </w:rPr>
        <w:t xml:space="preserve">5. Conexión con el KPI</w:t>
      </w:r>
    </w:p>
    <w:p w:rsidR="00000000" w:rsidDel="00000000" w:rsidP="00000000" w:rsidRDefault="00000000" w:rsidRPr="00000000" w14:paraId="0000004C">
      <w:pPr>
        <w:spacing w:after="200" w:before="0" w:lineRule="auto"/>
        <w:rPr/>
      </w:pPr>
      <w:r w:rsidDel="00000000" w:rsidR="00000000" w:rsidRPr="00000000">
        <w:rPr>
          <w:rtl w:val="0"/>
        </w:rPr>
        <w:t xml:space="preserve">Los datos no permiten medir directamente cuánto bajaría la tasa de fuga, porque no hay campaña observada. Se estimará con un escenario explícito: si la empresa contacta al grupo de mayor riesgo y la promoción retiene una proporción supuesta de esos clientes, la tasa de fuga resultante se compara con la línea base de 26.54% y con la meta de referencia (unos 21.23%). El supuesto de retención quedará declarado como tal y habrá que validarlo con la empresa.</w:t>
      </w:r>
    </w:p>
    <w:p w:rsidR="00000000" w:rsidDel="00000000" w:rsidP="00000000" w:rsidRDefault="00000000" w:rsidRPr="00000000" w14:paraId="0000004D">
      <w:pPr>
        <w:keepNext w:val="0"/>
        <w:keepLines w:val="0"/>
        <w:spacing w:after="200" w:before="0" w:lineRule="auto"/>
        <w:rPr/>
      </w:pPr>
      <w:r w:rsidDel="00000000" w:rsidR="00000000" w:rsidRPr="00000000">
        <w:rPr>
          <w:rtl w:val="0"/>
        </w:rPr>
        <w:t xml:space="preserve">6. Supuestos y limitaciones</w:t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spacing w:after="20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Los datos son una foto de un solo momento: no se puede validar el horizonte de 30 días de la ficha.</w:t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spacing w:after="20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No hay registro de campañas anteriores, por lo que el modelo estima riesgo, no el efecto de la promoción.</w:t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spacing w:after="20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Son datos de ejemplo de IBM publicados en Kaggle, sin fecha ni operadora identificada; los resultados podrían no generalizarse a una operadora real.</w:t>
      </w:r>
    </w:p>
    <w:p w:rsidR="00000000" w:rsidDel="00000000" w:rsidP="00000000" w:rsidRDefault="00000000" w:rsidRPr="00000000" w14:paraId="00000051">
      <w:pPr>
        <w:numPr>
          <w:ilvl w:val="0"/>
          <w:numId w:val="2"/>
        </w:numPr>
        <w:spacing w:after="20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El desbalance es moderado (26.54% de bajas); si afecta los resultados se evaluarán ajustes de pesos o de umbral.</w:t>
      </w:r>
    </w:p>
    <w:p w:rsidR="00000000" w:rsidDel="00000000" w:rsidP="00000000" w:rsidRDefault="00000000" w:rsidRPr="00000000" w14:paraId="00000052">
      <w:pPr>
        <w:numPr>
          <w:ilvl w:val="0"/>
          <w:numId w:val="2"/>
        </w:numPr>
        <w:spacing w:after="20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Los 11 clientes sin cargo total se trataron como 0 porque aún no recibían su primera factura; es una decisión de preparación que se mantiene en todos los modelos.</w:t>
      </w:r>
    </w:p>
    <w:p w:rsidR="00000000" w:rsidDel="00000000" w:rsidP="00000000" w:rsidRDefault="00000000" w:rsidRPr="00000000" w14:paraId="00000053">
      <w:pPr>
        <w:keepNext w:val="0"/>
        <w:keepLines w:val="0"/>
        <w:spacing w:after="200" w:before="0" w:lineRule="auto"/>
        <w:rPr/>
      </w:pPr>
      <w:r w:rsidDel="00000000" w:rsidR="00000000" w:rsidRPr="00000000">
        <w:rPr>
          <w:rtl w:val="0"/>
        </w:rPr>
        <w:t xml:space="preserve">7. Orden de ejecución previsto</w:t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spacing w:after="20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Hecho: datos cargados, verificados y preparados (cuadernos 01 y 02) y diccionario de datos.</w:t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spacing w:after="20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Entrenar y evaluar la regresión logística como modelo base.</w:t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spacing w:after="20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Probar la versión regularizada y comparar.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spacing w:after="20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Entrenar el clasificador clásico y compararlo con los anteriores.</w:t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spacing w:after="20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Elegir el umbral según costo de errores y evaluar una sola vez en la partición de prueba.</w:t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spacing w:after="20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Para el Hito 2: añadir el análisis de supervivencia y, si hay tiempo, la segmentación.</w:t>
      </w:r>
    </w:p>
    <w:p w:rsidR="00000000" w:rsidDel="00000000" w:rsidP="00000000" w:rsidRDefault="00000000" w:rsidRPr="00000000" w14:paraId="0000005A">
      <w:pPr>
        <w:spacing w:after="200" w:before="0" w:lineRule="auto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