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468E92" w14:textId="77777777" w:rsidR="001A546E" w:rsidRDefault="00D811C8" w:rsidP="006349A4">
      <w:pPr>
        <w:pStyle w:val="Ttulo1"/>
      </w:pPr>
      <w:r>
        <w:t>Introduction</w:t>
      </w:r>
    </w:p>
    <w:p w14:paraId="58D83035" w14:textId="7DECC060" w:rsidR="00D811C8" w:rsidRDefault="00E367F4">
      <w:r>
        <w:t>Neurodevelopmental disorders</w:t>
      </w:r>
    </w:p>
    <w:p w14:paraId="014A531C" w14:textId="77777777" w:rsidR="00312DDE" w:rsidRPr="00312DDE" w:rsidRDefault="00312DDE" w:rsidP="00312DDE">
      <w:pPr>
        <w:spacing w:after="0" w:line="240" w:lineRule="auto"/>
        <w:jc w:val="both"/>
        <w:rPr>
          <w:rFonts w:ascii="Times New Roman" w:eastAsia="Times New Roman" w:hAnsi="Times New Roman" w:cs="Times New Roman"/>
          <w:sz w:val="24"/>
          <w:szCs w:val="24"/>
        </w:rPr>
      </w:pPr>
      <w:r w:rsidRPr="00312DDE">
        <w:rPr>
          <w:rFonts w:ascii="Arial" w:eastAsia="Times New Roman" w:hAnsi="Arial" w:cs="Arial"/>
          <w:color w:val="000000"/>
        </w:rPr>
        <w:t xml:space="preserve">Neurodevelopmental disorders (NDDs) are a group of neuropsychological pathologies characterized by their manifestation between infancy and adolescence. NDDs include attention deficit/hyperactivity disorder (ADHD), autism spectrum disorder (ASD), motor and mood disorders, and intellectual and learning disabilities. Despite the multiple genetic mutations that </w:t>
      </w:r>
      <w:proofErr w:type="gramStart"/>
      <w:r w:rsidRPr="00312DDE">
        <w:rPr>
          <w:rFonts w:ascii="Arial" w:eastAsia="Times New Roman" w:hAnsi="Arial" w:cs="Arial"/>
          <w:color w:val="000000"/>
        </w:rPr>
        <w:t>have been identified</w:t>
      </w:r>
      <w:proofErr w:type="gramEnd"/>
      <w:r w:rsidRPr="00312DDE">
        <w:rPr>
          <w:rFonts w:ascii="Arial" w:eastAsia="Times New Roman" w:hAnsi="Arial" w:cs="Arial"/>
          <w:color w:val="000000"/>
        </w:rPr>
        <w:t xml:space="preserve"> as likely causal factors of NDDs, diagnosis remains challenging because of the diseases’ low genotype-phenotype correlation and the common presence of comorbidities </w:t>
      </w:r>
      <w:r w:rsidRPr="00312DDE">
        <w:rPr>
          <w:rFonts w:ascii="Arial" w:eastAsia="Times New Roman" w:hAnsi="Arial" w:cs="Arial"/>
          <w:color w:val="000000"/>
          <w:highlight w:val="yellow"/>
        </w:rPr>
        <w:t>(</w:t>
      </w:r>
      <w:proofErr w:type="spellStart"/>
      <w:r w:rsidRPr="00312DDE">
        <w:rPr>
          <w:rFonts w:ascii="Arial" w:eastAsia="Times New Roman" w:hAnsi="Arial" w:cs="Arial"/>
          <w:color w:val="000000"/>
          <w:highlight w:val="yellow"/>
        </w:rPr>
        <w:t>Moretto</w:t>
      </w:r>
      <w:proofErr w:type="spellEnd"/>
      <w:r w:rsidRPr="00312DDE">
        <w:rPr>
          <w:rFonts w:ascii="Arial" w:eastAsia="Times New Roman" w:hAnsi="Arial" w:cs="Arial"/>
          <w:color w:val="000000"/>
          <w:highlight w:val="yellow"/>
        </w:rPr>
        <w:t xml:space="preserve"> et al. 2018).</w:t>
      </w:r>
      <w:r w:rsidRPr="00312DDE">
        <w:rPr>
          <w:rFonts w:ascii="Arial" w:eastAsia="Times New Roman" w:hAnsi="Arial" w:cs="Arial"/>
          <w:color w:val="000000"/>
        </w:rPr>
        <w:t> </w:t>
      </w:r>
    </w:p>
    <w:p w14:paraId="1B62FC17" w14:textId="77777777" w:rsidR="00312DDE" w:rsidRPr="00312DDE" w:rsidRDefault="00312DDE" w:rsidP="00312DDE">
      <w:pPr>
        <w:spacing w:after="0" w:line="240" w:lineRule="auto"/>
        <w:jc w:val="both"/>
        <w:rPr>
          <w:rFonts w:ascii="Times New Roman" w:eastAsia="Times New Roman" w:hAnsi="Times New Roman" w:cs="Times New Roman"/>
          <w:sz w:val="24"/>
          <w:szCs w:val="24"/>
        </w:rPr>
      </w:pPr>
      <w:r w:rsidRPr="00312DDE">
        <w:rPr>
          <w:rFonts w:ascii="Arial" w:eastAsia="Times New Roman" w:hAnsi="Arial" w:cs="Arial"/>
          <w:color w:val="000000"/>
        </w:rPr>
        <w:t> </w:t>
      </w:r>
    </w:p>
    <w:p w14:paraId="3F6DCA8F" w14:textId="77777777" w:rsidR="00312DDE" w:rsidRPr="00312DDE" w:rsidRDefault="00312DDE" w:rsidP="00312DDE">
      <w:pPr>
        <w:spacing w:after="0" w:line="240" w:lineRule="auto"/>
        <w:jc w:val="both"/>
        <w:rPr>
          <w:rFonts w:ascii="Times New Roman" w:eastAsia="Times New Roman" w:hAnsi="Times New Roman" w:cs="Times New Roman"/>
          <w:sz w:val="24"/>
          <w:szCs w:val="24"/>
        </w:rPr>
      </w:pPr>
      <w:r w:rsidRPr="00312DDE">
        <w:rPr>
          <w:rFonts w:ascii="Arial" w:eastAsia="Times New Roman" w:hAnsi="Arial" w:cs="Arial"/>
          <w:color w:val="000000"/>
        </w:rPr>
        <w:t xml:space="preserve">Interestingly, many of the genes altered in NDDs are involved in pathways related to protein synthesis, transcriptional regulation, and synaptic signaling (Reviewed in Mullins et al. 2016). Because of this, there has been great interest in the biomolecules involved in these pathways as potential biomarkers or therapeutic targets for different NDDs. For example, several studies have found the excitatory neurotransmitter glutamate to </w:t>
      </w:r>
      <w:proofErr w:type="gramStart"/>
      <w:r w:rsidRPr="00312DDE">
        <w:rPr>
          <w:rFonts w:ascii="Arial" w:eastAsia="Times New Roman" w:hAnsi="Arial" w:cs="Arial"/>
          <w:color w:val="000000"/>
        </w:rPr>
        <w:t>be increased</w:t>
      </w:r>
      <w:proofErr w:type="gramEnd"/>
      <w:r w:rsidRPr="00312DDE">
        <w:rPr>
          <w:rFonts w:ascii="Arial" w:eastAsia="Times New Roman" w:hAnsi="Arial" w:cs="Arial"/>
          <w:color w:val="000000"/>
        </w:rPr>
        <w:t xml:space="preserve"> in the blood and brain tissue of ASD patients. This has led to the theory that ASD is caused by an increase in the excitation/inhibition (E/I) ratio due to either a lack of GABA-</w:t>
      </w:r>
      <w:proofErr w:type="spellStart"/>
      <w:r w:rsidRPr="00312DDE">
        <w:rPr>
          <w:rFonts w:ascii="Arial" w:eastAsia="Times New Roman" w:hAnsi="Arial" w:cs="Arial"/>
          <w:color w:val="000000"/>
        </w:rPr>
        <w:t>ergic</w:t>
      </w:r>
      <w:proofErr w:type="spellEnd"/>
      <w:r w:rsidRPr="00312DDE">
        <w:rPr>
          <w:rFonts w:ascii="Arial" w:eastAsia="Times New Roman" w:hAnsi="Arial" w:cs="Arial"/>
          <w:color w:val="000000"/>
        </w:rPr>
        <w:t xml:space="preserve"> neurons or a deficiency in their activity (Rubenstein and </w:t>
      </w:r>
      <w:proofErr w:type="spellStart"/>
      <w:r w:rsidRPr="00312DDE">
        <w:rPr>
          <w:rFonts w:ascii="Arial" w:eastAsia="Times New Roman" w:hAnsi="Arial" w:cs="Arial"/>
          <w:color w:val="000000"/>
        </w:rPr>
        <w:t>Merzenich</w:t>
      </w:r>
      <w:proofErr w:type="spellEnd"/>
      <w:r w:rsidRPr="00312DDE">
        <w:rPr>
          <w:rFonts w:ascii="Arial" w:eastAsia="Times New Roman" w:hAnsi="Arial" w:cs="Arial"/>
          <w:color w:val="000000"/>
        </w:rPr>
        <w:t xml:space="preserve">, 2003; Nelson and </w:t>
      </w:r>
      <w:proofErr w:type="spellStart"/>
      <w:r w:rsidRPr="00312DDE">
        <w:rPr>
          <w:rFonts w:ascii="Arial" w:eastAsia="Times New Roman" w:hAnsi="Arial" w:cs="Arial"/>
          <w:color w:val="000000"/>
        </w:rPr>
        <w:t>Valakh</w:t>
      </w:r>
      <w:proofErr w:type="spellEnd"/>
      <w:r w:rsidRPr="00312DDE">
        <w:rPr>
          <w:rFonts w:ascii="Arial" w:eastAsia="Times New Roman" w:hAnsi="Arial" w:cs="Arial"/>
          <w:color w:val="000000"/>
        </w:rPr>
        <w:t xml:space="preserve">, 2015; Robertson et al., 2016; </w:t>
      </w:r>
      <w:proofErr w:type="spellStart"/>
      <w:r w:rsidRPr="00312DDE">
        <w:rPr>
          <w:rFonts w:ascii="Arial" w:eastAsia="Times New Roman" w:hAnsi="Arial" w:cs="Arial"/>
          <w:color w:val="000000"/>
        </w:rPr>
        <w:t>Uzunova</w:t>
      </w:r>
      <w:proofErr w:type="spellEnd"/>
      <w:r w:rsidRPr="00312DDE">
        <w:rPr>
          <w:rFonts w:ascii="Arial" w:eastAsia="Times New Roman" w:hAnsi="Arial" w:cs="Arial"/>
          <w:color w:val="000000"/>
        </w:rPr>
        <w:t xml:space="preserve"> et al., 2016; </w:t>
      </w:r>
      <w:proofErr w:type="spellStart"/>
      <w:r w:rsidRPr="00312DDE">
        <w:rPr>
          <w:rFonts w:ascii="Arial" w:eastAsia="Times New Roman" w:hAnsi="Arial" w:cs="Arial"/>
          <w:color w:val="000000"/>
        </w:rPr>
        <w:t>Lopatina</w:t>
      </w:r>
      <w:proofErr w:type="spellEnd"/>
      <w:r w:rsidRPr="00312DDE">
        <w:rPr>
          <w:rFonts w:ascii="Arial" w:eastAsia="Times New Roman" w:hAnsi="Arial" w:cs="Arial"/>
          <w:color w:val="000000"/>
        </w:rPr>
        <w:t xml:space="preserve"> et al. 2019). Similarly, </w:t>
      </w:r>
      <w:proofErr w:type="spellStart"/>
      <w:r w:rsidRPr="00312DDE">
        <w:rPr>
          <w:rFonts w:ascii="Arial" w:eastAsia="Times New Roman" w:hAnsi="Arial" w:cs="Arial"/>
          <w:color w:val="000000"/>
        </w:rPr>
        <w:t>Rett</w:t>
      </w:r>
      <w:proofErr w:type="spellEnd"/>
      <w:r w:rsidRPr="00312DDE">
        <w:rPr>
          <w:rFonts w:ascii="Arial" w:eastAsia="Times New Roman" w:hAnsi="Arial" w:cs="Arial"/>
          <w:color w:val="000000"/>
        </w:rPr>
        <w:t xml:space="preserve"> syndrome (RTT) patients and animal models have shown higher levels of glutamate and a reduced expression of metabotropic glutamate receptors 5 and 7 (mGlu5, mGlu7)</w:t>
      </w:r>
      <w:proofErr w:type="gramStart"/>
      <w:r w:rsidRPr="00312DDE">
        <w:rPr>
          <w:rFonts w:ascii="Arial" w:eastAsia="Times New Roman" w:hAnsi="Arial" w:cs="Arial"/>
          <w:color w:val="000000"/>
        </w:rPr>
        <w:t>  (</w:t>
      </w:r>
      <w:proofErr w:type="spellStart"/>
      <w:proofErr w:type="gramEnd"/>
      <w:r w:rsidRPr="00312DDE">
        <w:rPr>
          <w:rFonts w:ascii="Arial" w:eastAsia="Times New Roman" w:hAnsi="Arial" w:cs="Arial"/>
          <w:color w:val="000000"/>
        </w:rPr>
        <w:t>Gogliotti</w:t>
      </w:r>
      <w:proofErr w:type="spellEnd"/>
      <w:r w:rsidRPr="00312DDE">
        <w:rPr>
          <w:rFonts w:ascii="Arial" w:eastAsia="Times New Roman" w:hAnsi="Arial" w:cs="Arial"/>
          <w:color w:val="000000"/>
        </w:rPr>
        <w:t xml:space="preserve"> et al. 2016; </w:t>
      </w:r>
      <w:proofErr w:type="spellStart"/>
      <w:r w:rsidRPr="00312DDE">
        <w:rPr>
          <w:rFonts w:ascii="Arial" w:eastAsia="Times New Roman" w:hAnsi="Arial" w:cs="Arial"/>
          <w:color w:val="000000"/>
        </w:rPr>
        <w:t>Gogliotti</w:t>
      </w:r>
      <w:proofErr w:type="spellEnd"/>
      <w:r w:rsidRPr="00312DDE">
        <w:rPr>
          <w:rFonts w:ascii="Arial" w:eastAsia="Times New Roman" w:hAnsi="Arial" w:cs="Arial"/>
          <w:color w:val="000000"/>
        </w:rPr>
        <w:t xml:space="preserve"> et al. 2017). </w:t>
      </w:r>
    </w:p>
    <w:p w14:paraId="7200AADF" w14:textId="77777777" w:rsidR="00312DDE" w:rsidRPr="00312DDE" w:rsidRDefault="00312DDE" w:rsidP="00312DDE">
      <w:pPr>
        <w:spacing w:after="0" w:line="240" w:lineRule="auto"/>
        <w:rPr>
          <w:rFonts w:ascii="Times New Roman" w:eastAsia="Times New Roman" w:hAnsi="Times New Roman" w:cs="Times New Roman"/>
          <w:sz w:val="24"/>
          <w:szCs w:val="24"/>
        </w:rPr>
      </w:pPr>
    </w:p>
    <w:p w14:paraId="1EA82A25" w14:textId="2E9F40CB" w:rsidR="00312DDE" w:rsidRPr="00312DDE" w:rsidRDefault="00312DDE" w:rsidP="00312DDE">
      <w:pPr>
        <w:spacing w:after="0" w:line="240" w:lineRule="auto"/>
        <w:jc w:val="both"/>
        <w:rPr>
          <w:rFonts w:ascii="Times New Roman" w:eastAsia="Times New Roman" w:hAnsi="Times New Roman" w:cs="Times New Roman"/>
          <w:sz w:val="24"/>
          <w:szCs w:val="24"/>
        </w:rPr>
      </w:pPr>
      <w:r w:rsidRPr="00312DDE">
        <w:rPr>
          <w:rFonts w:ascii="Arial" w:eastAsia="Times New Roman" w:hAnsi="Arial" w:cs="Arial"/>
          <w:color w:val="000000"/>
          <w:highlight w:val="yellow"/>
        </w:rPr>
        <w:t>Tryp</w:t>
      </w:r>
      <w:r w:rsidRPr="00312DDE">
        <w:rPr>
          <w:rFonts w:ascii="Arial" w:eastAsia="Times New Roman" w:hAnsi="Arial" w:cs="Arial"/>
          <w:color w:val="000000"/>
        </w:rPr>
        <w:t xml:space="preserve">tophan is an essential amino acid that is the precursor of several neuroactive compounds. The majority of tryptophan </w:t>
      </w:r>
      <w:proofErr w:type="gramStart"/>
      <w:r w:rsidRPr="00312DDE">
        <w:rPr>
          <w:rFonts w:ascii="Arial" w:eastAsia="Times New Roman" w:hAnsi="Arial" w:cs="Arial"/>
          <w:color w:val="000000"/>
        </w:rPr>
        <w:t xml:space="preserve">is </w:t>
      </w:r>
      <w:r w:rsidR="00CF51AE">
        <w:rPr>
          <w:rFonts w:ascii="Arial" w:eastAsia="Times New Roman" w:hAnsi="Arial" w:cs="Arial"/>
          <w:color w:val="000000"/>
        </w:rPr>
        <w:t>catabolized</w:t>
      </w:r>
      <w:proofErr w:type="gramEnd"/>
      <w:r w:rsidRPr="00312DDE">
        <w:rPr>
          <w:rFonts w:ascii="Arial" w:eastAsia="Times New Roman" w:hAnsi="Arial" w:cs="Arial"/>
          <w:color w:val="000000"/>
        </w:rPr>
        <w:t xml:space="preserve"> through the kynurenine pathway into the coenzyme nicotinamide adenine dinucleotide (NAD+), which is a </w:t>
      </w:r>
      <w:r w:rsidR="00CF51AE">
        <w:rPr>
          <w:rFonts w:ascii="Arial" w:eastAsia="Times New Roman" w:hAnsi="Arial" w:cs="Arial"/>
          <w:color w:val="000000"/>
        </w:rPr>
        <w:t>vital</w:t>
      </w:r>
      <w:r w:rsidRPr="00312DDE">
        <w:rPr>
          <w:rFonts w:ascii="Arial" w:eastAsia="Times New Roman" w:hAnsi="Arial" w:cs="Arial"/>
          <w:color w:val="000000"/>
        </w:rPr>
        <w:t xml:space="preserve"> component of energy </w:t>
      </w:r>
      <w:r w:rsidRPr="00CF51AE">
        <w:rPr>
          <w:rFonts w:ascii="Arial" w:eastAsia="Times New Roman" w:hAnsi="Arial" w:cs="Arial"/>
          <w:color w:val="000000"/>
          <w:highlight w:val="yellow"/>
        </w:rPr>
        <w:t>metabolism.</w:t>
      </w:r>
      <w:r w:rsidRPr="00312DDE">
        <w:rPr>
          <w:rFonts w:ascii="Arial" w:eastAsia="Times New Roman" w:hAnsi="Arial" w:cs="Arial"/>
          <w:color w:val="000000"/>
        </w:rPr>
        <w:t xml:space="preserve"> </w:t>
      </w:r>
      <w:proofErr w:type="spellStart"/>
      <w:r w:rsidRPr="00312DDE">
        <w:rPr>
          <w:rFonts w:ascii="Arial" w:eastAsia="Times New Roman" w:hAnsi="Arial" w:cs="Arial"/>
          <w:color w:val="000000"/>
        </w:rPr>
        <w:t>Kynurenic</w:t>
      </w:r>
      <w:proofErr w:type="spellEnd"/>
      <w:r w:rsidRPr="00312DDE">
        <w:rPr>
          <w:rFonts w:ascii="Arial" w:eastAsia="Times New Roman" w:hAnsi="Arial" w:cs="Arial"/>
          <w:color w:val="000000"/>
        </w:rPr>
        <w:t xml:space="preserve"> (KYNA) is an intermediate metabolite of the kynurenine pathway that acts as an antagonist to the N-methyl-D-aspartate receptors (NMDARs). Studies have found that KYNA to be significantly increased in the cerebrospinal fluid (CSF) and brain tissue of patients with schizophrenia (</w:t>
      </w:r>
      <w:proofErr w:type="spellStart"/>
      <w:r w:rsidRPr="00312DDE">
        <w:rPr>
          <w:rFonts w:ascii="Arial" w:eastAsia="Times New Roman" w:hAnsi="Arial" w:cs="Arial"/>
          <w:color w:val="000000"/>
        </w:rPr>
        <w:t>Sathyasaikumar</w:t>
      </w:r>
      <w:proofErr w:type="spellEnd"/>
      <w:r w:rsidRPr="00312DDE">
        <w:rPr>
          <w:rFonts w:ascii="Arial" w:eastAsia="Times New Roman" w:hAnsi="Arial" w:cs="Arial"/>
          <w:color w:val="000000"/>
        </w:rPr>
        <w:t xml:space="preserve"> et al. 2011; </w:t>
      </w:r>
      <w:proofErr w:type="spellStart"/>
      <w:r w:rsidRPr="00312DDE">
        <w:rPr>
          <w:rFonts w:ascii="Arial" w:eastAsia="Times New Roman" w:hAnsi="Arial" w:cs="Arial"/>
          <w:color w:val="000000"/>
        </w:rPr>
        <w:t>Holtze</w:t>
      </w:r>
      <w:proofErr w:type="spellEnd"/>
      <w:r w:rsidRPr="00312DDE">
        <w:rPr>
          <w:rFonts w:ascii="Arial" w:eastAsia="Times New Roman" w:hAnsi="Arial" w:cs="Arial"/>
          <w:color w:val="000000"/>
        </w:rPr>
        <w:t xml:space="preserve"> et al. 2012)   </w:t>
      </w:r>
    </w:p>
    <w:p w14:paraId="34658E1B" w14:textId="77777777" w:rsidR="00312DDE" w:rsidRPr="00312DDE" w:rsidRDefault="00312DDE" w:rsidP="00312DDE">
      <w:pPr>
        <w:spacing w:after="0" w:line="240" w:lineRule="auto"/>
        <w:rPr>
          <w:rFonts w:ascii="Times New Roman" w:eastAsia="Times New Roman" w:hAnsi="Times New Roman" w:cs="Times New Roman"/>
          <w:sz w:val="24"/>
          <w:szCs w:val="24"/>
        </w:rPr>
      </w:pPr>
    </w:p>
    <w:p w14:paraId="37097248" w14:textId="38B8610F" w:rsidR="00312DDE" w:rsidRPr="00312DDE" w:rsidRDefault="00312DDE" w:rsidP="00312DDE">
      <w:pPr>
        <w:spacing w:after="0" w:line="240" w:lineRule="auto"/>
        <w:jc w:val="both"/>
        <w:rPr>
          <w:rFonts w:ascii="Times New Roman" w:eastAsia="Times New Roman" w:hAnsi="Times New Roman" w:cs="Times New Roman"/>
          <w:sz w:val="24"/>
          <w:szCs w:val="24"/>
        </w:rPr>
      </w:pPr>
      <w:r w:rsidRPr="00312DDE">
        <w:rPr>
          <w:rFonts w:ascii="Arial" w:eastAsia="Times New Roman" w:hAnsi="Arial" w:cs="Arial"/>
          <w:color w:val="000000"/>
        </w:rPr>
        <w:t xml:space="preserve">Recent research has shed light on omics technologies as useful tools in the search for biomarkers and therapeutic targets for complex diseases. Metabolomics is a relatively new area of research that can capture patient-specific </w:t>
      </w:r>
      <w:r w:rsidR="004E2FB2">
        <w:rPr>
          <w:rFonts w:ascii="Arial" w:eastAsia="Times New Roman" w:hAnsi="Arial" w:cs="Arial"/>
          <w:color w:val="000000"/>
        </w:rPr>
        <w:t>variation</w:t>
      </w:r>
      <w:r w:rsidRPr="00312DDE">
        <w:rPr>
          <w:rFonts w:ascii="Arial" w:eastAsia="Times New Roman" w:hAnsi="Arial" w:cs="Arial"/>
          <w:color w:val="000000"/>
        </w:rPr>
        <w:t xml:space="preserve"> such as r</w:t>
      </w:r>
      <w:r w:rsidRPr="00CF51AE">
        <w:rPr>
          <w:rFonts w:ascii="Arial" w:eastAsia="Times New Roman" w:hAnsi="Arial" w:cs="Arial"/>
          <w:color w:val="000000"/>
          <w:highlight w:val="yellow"/>
        </w:rPr>
        <w:t>esponse to treatment, exposure to environmental conditions</w:t>
      </w:r>
      <w:r w:rsidR="004E2FB2" w:rsidRPr="00CF51AE">
        <w:rPr>
          <w:rFonts w:ascii="Arial" w:eastAsia="Times New Roman" w:hAnsi="Arial" w:cs="Arial"/>
          <w:color w:val="000000"/>
          <w:highlight w:val="yellow"/>
        </w:rPr>
        <w:t>,</w:t>
      </w:r>
      <w:r w:rsidRPr="00CF51AE">
        <w:rPr>
          <w:rFonts w:ascii="Arial" w:eastAsia="Times New Roman" w:hAnsi="Arial" w:cs="Arial"/>
          <w:color w:val="000000"/>
          <w:highlight w:val="yellow"/>
        </w:rPr>
        <w:t xml:space="preserve"> or disease progression</w:t>
      </w:r>
      <w:r w:rsidRPr="00312DDE">
        <w:rPr>
          <w:rFonts w:ascii="Arial" w:eastAsia="Times New Roman" w:hAnsi="Arial" w:cs="Arial"/>
          <w:color w:val="000000"/>
        </w:rPr>
        <w:t xml:space="preserve">, which makes it a promising avenue for personalized medicine. One of the main advantages of metabolomics is that it offers a more accurate picture of the phenotype. It allows researchers to study not only the information encoded in the genome of a patient, but also the effect that </w:t>
      </w:r>
      <w:r w:rsidR="00035F04" w:rsidRPr="00035F04">
        <w:rPr>
          <w:rFonts w:ascii="Arial" w:eastAsia="Times New Roman" w:hAnsi="Arial" w:cs="Arial"/>
          <w:color w:val="000000"/>
          <w:highlight w:val="yellow"/>
        </w:rPr>
        <w:t>genomic, proteomic regulation</w:t>
      </w:r>
      <w:r w:rsidRPr="00312DDE">
        <w:rPr>
          <w:rFonts w:ascii="Arial" w:eastAsia="Times New Roman" w:hAnsi="Arial" w:cs="Arial"/>
          <w:color w:val="000000"/>
        </w:rPr>
        <w:t xml:space="preserve"> have on its expression. For diseases like NDDs, a </w:t>
      </w:r>
      <w:proofErr w:type="spellStart"/>
      <w:r w:rsidRPr="00312DDE">
        <w:rPr>
          <w:rFonts w:ascii="Arial" w:eastAsia="Times New Roman" w:hAnsi="Arial" w:cs="Arial"/>
          <w:color w:val="000000"/>
        </w:rPr>
        <w:t>metabolomic</w:t>
      </w:r>
      <w:proofErr w:type="spellEnd"/>
      <w:r w:rsidRPr="00312DDE">
        <w:rPr>
          <w:rFonts w:ascii="Arial" w:eastAsia="Times New Roman" w:hAnsi="Arial" w:cs="Arial"/>
          <w:color w:val="000000"/>
        </w:rPr>
        <w:t xml:space="preserve"> approach could provide the missing link between their molecular profiles and their clinical presentation. For that reason, this study focused on the comparison of the metabolic profiles of patients affected with different NDDs and healthy controls. Special focus </w:t>
      </w:r>
      <w:proofErr w:type="gramStart"/>
      <w:r w:rsidRPr="00312DDE">
        <w:rPr>
          <w:rFonts w:ascii="Arial" w:eastAsia="Times New Roman" w:hAnsi="Arial" w:cs="Arial"/>
          <w:color w:val="000000"/>
        </w:rPr>
        <w:t xml:space="preserve">was </w:t>
      </w:r>
      <w:r>
        <w:rPr>
          <w:rFonts w:ascii="Arial" w:eastAsia="Times New Roman" w:hAnsi="Arial" w:cs="Arial"/>
          <w:color w:val="000000"/>
        </w:rPr>
        <w:t>given</w:t>
      </w:r>
      <w:proofErr w:type="gramEnd"/>
      <w:r>
        <w:rPr>
          <w:rFonts w:ascii="Arial" w:eastAsia="Times New Roman" w:hAnsi="Arial" w:cs="Arial"/>
          <w:color w:val="000000"/>
        </w:rPr>
        <w:t xml:space="preserve"> to tryptophan and energy </w:t>
      </w:r>
      <w:r w:rsidRPr="00312DDE">
        <w:rPr>
          <w:rFonts w:ascii="Arial" w:eastAsia="Times New Roman" w:hAnsi="Arial" w:cs="Arial"/>
          <w:color w:val="000000"/>
          <w:highlight w:val="yellow"/>
        </w:rPr>
        <w:t>metabolism because of</w:t>
      </w:r>
      <w:r w:rsidRPr="00312DDE">
        <w:rPr>
          <w:rFonts w:ascii="Arial" w:eastAsia="Times New Roman" w:hAnsi="Arial" w:cs="Arial"/>
          <w:color w:val="000000"/>
        </w:rPr>
        <w:t> </w:t>
      </w:r>
    </w:p>
    <w:p w14:paraId="00721125" w14:textId="77777777" w:rsidR="00312DDE" w:rsidRPr="00312DDE" w:rsidRDefault="00312DDE" w:rsidP="00312DDE">
      <w:pPr>
        <w:spacing w:after="240" w:line="240" w:lineRule="auto"/>
        <w:rPr>
          <w:rFonts w:ascii="Times New Roman" w:eastAsia="Times New Roman" w:hAnsi="Times New Roman" w:cs="Times New Roman"/>
          <w:sz w:val="24"/>
          <w:szCs w:val="24"/>
        </w:rPr>
      </w:pPr>
    </w:p>
    <w:p w14:paraId="33087BE1" w14:textId="77777777" w:rsidR="00312DDE" w:rsidRPr="00312DDE" w:rsidRDefault="00312DDE" w:rsidP="00312DDE">
      <w:pPr>
        <w:spacing w:after="0" w:line="480" w:lineRule="auto"/>
        <w:ind w:left="440" w:hanging="440"/>
        <w:jc w:val="both"/>
        <w:rPr>
          <w:rFonts w:ascii="Times New Roman" w:eastAsia="Times New Roman" w:hAnsi="Times New Roman" w:cs="Times New Roman"/>
          <w:sz w:val="24"/>
          <w:szCs w:val="24"/>
        </w:rPr>
      </w:pPr>
      <w:bookmarkStart w:id="0" w:name="_GoBack"/>
      <w:proofErr w:type="spellStart"/>
      <w:r w:rsidRPr="00312DDE">
        <w:rPr>
          <w:rFonts w:ascii="Arial" w:eastAsia="Times New Roman" w:hAnsi="Arial" w:cs="Arial"/>
          <w:color w:val="000000"/>
        </w:rPr>
        <w:t>Lopatina</w:t>
      </w:r>
      <w:bookmarkEnd w:id="0"/>
      <w:proofErr w:type="spellEnd"/>
      <w:r w:rsidRPr="00312DDE">
        <w:rPr>
          <w:rFonts w:ascii="Arial" w:eastAsia="Times New Roman" w:hAnsi="Arial" w:cs="Arial"/>
          <w:color w:val="000000"/>
        </w:rPr>
        <w:t xml:space="preserve">, O. L., Malinovskaya, N. A., </w:t>
      </w:r>
      <w:proofErr w:type="spellStart"/>
      <w:r w:rsidRPr="00312DDE">
        <w:rPr>
          <w:rFonts w:ascii="Arial" w:eastAsia="Times New Roman" w:hAnsi="Arial" w:cs="Arial"/>
          <w:color w:val="000000"/>
        </w:rPr>
        <w:t>Komleva</w:t>
      </w:r>
      <w:proofErr w:type="spellEnd"/>
      <w:r w:rsidRPr="00312DDE">
        <w:rPr>
          <w:rFonts w:ascii="Arial" w:eastAsia="Times New Roman" w:hAnsi="Arial" w:cs="Arial"/>
          <w:color w:val="000000"/>
        </w:rPr>
        <w:t xml:space="preserve">, Y. K., </w:t>
      </w:r>
      <w:proofErr w:type="spellStart"/>
      <w:r w:rsidRPr="00312DDE">
        <w:rPr>
          <w:rFonts w:ascii="Arial" w:eastAsia="Times New Roman" w:hAnsi="Arial" w:cs="Arial"/>
          <w:color w:val="000000"/>
        </w:rPr>
        <w:t>Gorina</w:t>
      </w:r>
      <w:proofErr w:type="spellEnd"/>
      <w:r w:rsidRPr="00312DDE">
        <w:rPr>
          <w:rFonts w:ascii="Arial" w:eastAsia="Times New Roman" w:hAnsi="Arial" w:cs="Arial"/>
          <w:color w:val="000000"/>
        </w:rPr>
        <w:t xml:space="preserve">, Y. V., </w:t>
      </w:r>
      <w:proofErr w:type="spellStart"/>
      <w:r w:rsidRPr="00312DDE">
        <w:rPr>
          <w:rFonts w:ascii="Arial" w:eastAsia="Times New Roman" w:hAnsi="Arial" w:cs="Arial"/>
          <w:color w:val="000000"/>
        </w:rPr>
        <w:t>Shuvaev</w:t>
      </w:r>
      <w:proofErr w:type="spellEnd"/>
      <w:r w:rsidRPr="00312DDE">
        <w:rPr>
          <w:rFonts w:ascii="Arial" w:eastAsia="Times New Roman" w:hAnsi="Arial" w:cs="Arial"/>
          <w:color w:val="000000"/>
        </w:rPr>
        <w:t xml:space="preserve">, A. N., </w:t>
      </w:r>
      <w:proofErr w:type="spellStart"/>
      <w:r w:rsidRPr="00312DDE">
        <w:rPr>
          <w:rFonts w:ascii="Arial" w:eastAsia="Times New Roman" w:hAnsi="Arial" w:cs="Arial"/>
          <w:color w:val="000000"/>
        </w:rPr>
        <w:t>Olovyannikova</w:t>
      </w:r>
      <w:proofErr w:type="spellEnd"/>
      <w:r w:rsidRPr="00312DDE">
        <w:rPr>
          <w:rFonts w:ascii="Arial" w:eastAsia="Times New Roman" w:hAnsi="Arial" w:cs="Arial"/>
          <w:color w:val="000000"/>
        </w:rPr>
        <w:t xml:space="preserve">, R. Y., </w:t>
      </w:r>
      <w:proofErr w:type="spellStart"/>
      <w:r w:rsidRPr="00312DDE">
        <w:rPr>
          <w:rFonts w:ascii="Arial" w:eastAsia="Times New Roman" w:hAnsi="Arial" w:cs="Arial"/>
          <w:color w:val="000000"/>
        </w:rPr>
        <w:t>Belozor</w:t>
      </w:r>
      <w:proofErr w:type="spellEnd"/>
      <w:r w:rsidRPr="00312DDE">
        <w:rPr>
          <w:rFonts w:ascii="Arial" w:eastAsia="Times New Roman" w:hAnsi="Arial" w:cs="Arial"/>
          <w:color w:val="000000"/>
        </w:rPr>
        <w:t xml:space="preserve">, O. S., </w:t>
      </w:r>
      <w:proofErr w:type="spellStart"/>
      <w:r w:rsidRPr="00312DDE">
        <w:rPr>
          <w:rFonts w:ascii="Arial" w:eastAsia="Times New Roman" w:hAnsi="Arial" w:cs="Arial"/>
          <w:color w:val="000000"/>
        </w:rPr>
        <w:t>Belova</w:t>
      </w:r>
      <w:proofErr w:type="spellEnd"/>
      <w:r w:rsidRPr="00312DDE">
        <w:rPr>
          <w:rFonts w:ascii="Arial" w:eastAsia="Times New Roman" w:hAnsi="Arial" w:cs="Arial"/>
          <w:color w:val="000000"/>
        </w:rPr>
        <w:t xml:space="preserve">, O. A., </w:t>
      </w:r>
      <w:proofErr w:type="spellStart"/>
      <w:r w:rsidRPr="00312DDE">
        <w:rPr>
          <w:rFonts w:ascii="Arial" w:eastAsia="Times New Roman" w:hAnsi="Arial" w:cs="Arial"/>
          <w:color w:val="000000"/>
        </w:rPr>
        <w:t>Higashida</w:t>
      </w:r>
      <w:proofErr w:type="spellEnd"/>
      <w:r w:rsidRPr="00312DDE">
        <w:rPr>
          <w:rFonts w:ascii="Arial" w:eastAsia="Times New Roman" w:hAnsi="Arial" w:cs="Arial"/>
          <w:color w:val="000000"/>
        </w:rPr>
        <w:t xml:space="preserve">, H., &amp; </w:t>
      </w:r>
      <w:proofErr w:type="spellStart"/>
      <w:r w:rsidRPr="00312DDE">
        <w:rPr>
          <w:rFonts w:ascii="Arial" w:eastAsia="Times New Roman" w:hAnsi="Arial" w:cs="Arial"/>
          <w:color w:val="000000"/>
        </w:rPr>
        <w:t>Salmina</w:t>
      </w:r>
      <w:proofErr w:type="spellEnd"/>
      <w:r w:rsidRPr="00312DDE">
        <w:rPr>
          <w:rFonts w:ascii="Arial" w:eastAsia="Times New Roman" w:hAnsi="Arial" w:cs="Arial"/>
          <w:color w:val="000000"/>
        </w:rPr>
        <w:t xml:space="preserve">, A. B. (2019). Excitation/inhibition imbalance and impaired neurogenesis in </w:t>
      </w:r>
      <w:r w:rsidRPr="00312DDE">
        <w:rPr>
          <w:rFonts w:ascii="Arial" w:eastAsia="Times New Roman" w:hAnsi="Arial" w:cs="Arial"/>
          <w:color w:val="000000"/>
        </w:rPr>
        <w:lastRenderedPageBreak/>
        <w:t xml:space="preserve">neurodevelopmental and neurodegenerative disorders. </w:t>
      </w:r>
      <w:r w:rsidRPr="00312DDE">
        <w:rPr>
          <w:rFonts w:ascii="Arial" w:eastAsia="Times New Roman" w:hAnsi="Arial" w:cs="Arial"/>
          <w:i/>
          <w:iCs/>
          <w:color w:val="000000"/>
        </w:rPr>
        <w:t>Reviews in the Neurosciences</w:t>
      </w:r>
      <w:r w:rsidRPr="00312DDE">
        <w:rPr>
          <w:rFonts w:ascii="Arial" w:eastAsia="Times New Roman" w:hAnsi="Arial" w:cs="Arial"/>
          <w:color w:val="000000"/>
        </w:rPr>
        <w:t xml:space="preserve">, </w:t>
      </w:r>
      <w:r w:rsidRPr="00312DDE">
        <w:rPr>
          <w:rFonts w:ascii="Arial" w:eastAsia="Times New Roman" w:hAnsi="Arial" w:cs="Arial"/>
          <w:i/>
          <w:iCs/>
          <w:color w:val="000000"/>
        </w:rPr>
        <w:t>30</w:t>
      </w:r>
      <w:r w:rsidRPr="00312DDE">
        <w:rPr>
          <w:rFonts w:ascii="Arial" w:eastAsia="Times New Roman" w:hAnsi="Arial" w:cs="Arial"/>
          <w:color w:val="000000"/>
        </w:rPr>
        <w:t>(8), 807–820.</w:t>
      </w:r>
      <w:hyperlink r:id="rId7" w:history="1">
        <w:r w:rsidRPr="00312DDE">
          <w:rPr>
            <w:rFonts w:ascii="Arial" w:eastAsia="Times New Roman" w:hAnsi="Arial" w:cs="Arial"/>
            <w:color w:val="000000"/>
            <w:u w:val="single"/>
          </w:rPr>
          <w:t xml:space="preserve"> </w:t>
        </w:r>
        <w:r w:rsidRPr="00312DDE">
          <w:rPr>
            <w:rFonts w:ascii="Arial" w:eastAsia="Times New Roman" w:hAnsi="Arial" w:cs="Arial"/>
            <w:color w:val="1155CC"/>
            <w:u w:val="single"/>
          </w:rPr>
          <w:t>https://doi.org/10.1515/revneuro-2019-0014</w:t>
        </w:r>
      </w:hyperlink>
    </w:p>
    <w:p w14:paraId="67852C7F" w14:textId="77777777" w:rsidR="00312DDE" w:rsidRPr="00312DDE" w:rsidRDefault="00312DDE" w:rsidP="00312DDE">
      <w:pPr>
        <w:spacing w:after="0" w:line="240" w:lineRule="auto"/>
        <w:rPr>
          <w:rFonts w:ascii="Times New Roman" w:eastAsia="Times New Roman" w:hAnsi="Times New Roman" w:cs="Times New Roman"/>
          <w:sz w:val="24"/>
          <w:szCs w:val="24"/>
        </w:rPr>
      </w:pPr>
    </w:p>
    <w:p w14:paraId="7B08ED98" w14:textId="77777777" w:rsidR="00312DDE" w:rsidRPr="00312DDE" w:rsidRDefault="00312DDE" w:rsidP="00312DDE">
      <w:pPr>
        <w:spacing w:after="0" w:line="480" w:lineRule="auto"/>
        <w:ind w:left="440" w:hanging="440"/>
        <w:jc w:val="both"/>
        <w:rPr>
          <w:rFonts w:ascii="Times New Roman" w:eastAsia="Times New Roman" w:hAnsi="Times New Roman" w:cs="Times New Roman"/>
          <w:sz w:val="24"/>
          <w:szCs w:val="24"/>
        </w:rPr>
      </w:pPr>
      <w:proofErr w:type="spellStart"/>
      <w:r w:rsidRPr="00312DDE">
        <w:rPr>
          <w:rFonts w:ascii="Arial" w:eastAsia="Times New Roman" w:hAnsi="Arial" w:cs="Arial"/>
          <w:color w:val="000000"/>
        </w:rPr>
        <w:t>Moretto</w:t>
      </w:r>
      <w:proofErr w:type="spellEnd"/>
      <w:r w:rsidRPr="00312DDE">
        <w:rPr>
          <w:rFonts w:ascii="Arial" w:eastAsia="Times New Roman" w:hAnsi="Arial" w:cs="Arial"/>
          <w:color w:val="000000"/>
        </w:rPr>
        <w:t xml:space="preserve">, E., </w:t>
      </w:r>
      <w:proofErr w:type="spellStart"/>
      <w:r w:rsidRPr="00312DDE">
        <w:rPr>
          <w:rFonts w:ascii="Arial" w:eastAsia="Times New Roman" w:hAnsi="Arial" w:cs="Arial"/>
          <w:color w:val="000000"/>
        </w:rPr>
        <w:t>Murru</w:t>
      </w:r>
      <w:proofErr w:type="spellEnd"/>
      <w:r w:rsidRPr="00312DDE">
        <w:rPr>
          <w:rFonts w:ascii="Arial" w:eastAsia="Times New Roman" w:hAnsi="Arial" w:cs="Arial"/>
          <w:color w:val="000000"/>
        </w:rPr>
        <w:t xml:space="preserve">, L., </w:t>
      </w:r>
      <w:proofErr w:type="spellStart"/>
      <w:r w:rsidRPr="00312DDE">
        <w:rPr>
          <w:rFonts w:ascii="Arial" w:eastAsia="Times New Roman" w:hAnsi="Arial" w:cs="Arial"/>
          <w:color w:val="000000"/>
        </w:rPr>
        <w:t>Martano</w:t>
      </w:r>
      <w:proofErr w:type="spellEnd"/>
      <w:r w:rsidRPr="00312DDE">
        <w:rPr>
          <w:rFonts w:ascii="Arial" w:eastAsia="Times New Roman" w:hAnsi="Arial" w:cs="Arial"/>
          <w:color w:val="000000"/>
        </w:rPr>
        <w:t xml:space="preserve">, G., </w:t>
      </w:r>
      <w:proofErr w:type="spellStart"/>
      <w:r w:rsidRPr="00312DDE">
        <w:rPr>
          <w:rFonts w:ascii="Arial" w:eastAsia="Times New Roman" w:hAnsi="Arial" w:cs="Arial"/>
          <w:color w:val="000000"/>
        </w:rPr>
        <w:t>Sassone</w:t>
      </w:r>
      <w:proofErr w:type="spellEnd"/>
      <w:r w:rsidRPr="00312DDE">
        <w:rPr>
          <w:rFonts w:ascii="Arial" w:eastAsia="Times New Roman" w:hAnsi="Arial" w:cs="Arial"/>
          <w:color w:val="000000"/>
        </w:rPr>
        <w:t xml:space="preserve">, J., &amp; </w:t>
      </w:r>
      <w:proofErr w:type="spellStart"/>
      <w:r w:rsidRPr="00312DDE">
        <w:rPr>
          <w:rFonts w:ascii="Arial" w:eastAsia="Times New Roman" w:hAnsi="Arial" w:cs="Arial"/>
          <w:color w:val="000000"/>
        </w:rPr>
        <w:t>Passafaro</w:t>
      </w:r>
      <w:proofErr w:type="spellEnd"/>
      <w:r w:rsidRPr="00312DDE">
        <w:rPr>
          <w:rFonts w:ascii="Arial" w:eastAsia="Times New Roman" w:hAnsi="Arial" w:cs="Arial"/>
          <w:color w:val="000000"/>
        </w:rPr>
        <w:t xml:space="preserve">, M. (2018). Glutamatergic synapses in neurodevelopmental disorders. </w:t>
      </w:r>
      <w:r w:rsidRPr="00312DDE">
        <w:rPr>
          <w:rFonts w:ascii="Arial" w:eastAsia="Times New Roman" w:hAnsi="Arial" w:cs="Arial"/>
          <w:i/>
          <w:iCs/>
          <w:color w:val="000000"/>
        </w:rPr>
        <w:t>Progress in Neuro-Psychopharmacology and Biological Psychiatry</w:t>
      </w:r>
      <w:r w:rsidRPr="00312DDE">
        <w:rPr>
          <w:rFonts w:ascii="Arial" w:eastAsia="Times New Roman" w:hAnsi="Arial" w:cs="Arial"/>
          <w:color w:val="000000"/>
        </w:rPr>
        <w:t xml:space="preserve">, </w:t>
      </w:r>
      <w:r w:rsidRPr="00312DDE">
        <w:rPr>
          <w:rFonts w:ascii="Arial" w:eastAsia="Times New Roman" w:hAnsi="Arial" w:cs="Arial"/>
          <w:i/>
          <w:iCs/>
          <w:color w:val="000000"/>
        </w:rPr>
        <w:t>84</w:t>
      </w:r>
      <w:r w:rsidRPr="00312DDE">
        <w:rPr>
          <w:rFonts w:ascii="Arial" w:eastAsia="Times New Roman" w:hAnsi="Arial" w:cs="Arial"/>
          <w:color w:val="000000"/>
        </w:rPr>
        <w:t>, 328–342.</w:t>
      </w:r>
      <w:hyperlink r:id="rId8" w:history="1">
        <w:r w:rsidRPr="00312DDE">
          <w:rPr>
            <w:rFonts w:ascii="Arial" w:eastAsia="Times New Roman" w:hAnsi="Arial" w:cs="Arial"/>
            <w:color w:val="000000"/>
            <w:u w:val="single"/>
          </w:rPr>
          <w:t xml:space="preserve"> </w:t>
        </w:r>
        <w:r w:rsidRPr="00312DDE">
          <w:rPr>
            <w:rFonts w:ascii="Arial" w:eastAsia="Times New Roman" w:hAnsi="Arial" w:cs="Arial"/>
            <w:color w:val="1155CC"/>
            <w:u w:val="single"/>
          </w:rPr>
          <w:t>https://doi.org/10.1016/j.pnpbp.2017.09.014</w:t>
        </w:r>
      </w:hyperlink>
    </w:p>
    <w:p w14:paraId="208FE67E" w14:textId="77777777" w:rsidR="00312DDE" w:rsidRPr="00312DDE" w:rsidRDefault="00312DDE" w:rsidP="00312DDE">
      <w:pPr>
        <w:spacing w:after="0" w:line="240" w:lineRule="auto"/>
        <w:rPr>
          <w:rFonts w:ascii="Times New Roman" w:eastAsia="Times New Roman" w:hAnsi="Times New Roman" w:cs="Times New Roman"/>
          <w:sz w:val="24"/>
          <w:szCs w:val="24"/>
        </w:rPr>
      </w:pPr>
    </w:p>
    <w:p w14:paraId="4B8A366E" w14:textId="77777777" w:rsidR="00312DDE" w:rsidRPr="00312DDE" w:rsidRDefault="00312DDE" w:rsidP="00312DDE">
      <w:pPr>
        <w:spacing w:after="0" w:line="480" w:lineRule="auto"/>
        <w:ind w:left="440" w:hanging="440"/>
        <w:jc w:val="both"/>
        <w:rPr>
          <w:rFonts w:ascii="Times New Roman" w:eastAsia="Times New Roman" w:hAnsi="Times New Roman" w:cs="Times New Roman"/>
          <w:sz w:val="24"/>
          <w:szCs w:val="24"/>
        </w:rPr>
      </w:pPr>
      <w:r w:rsidRPr="00312DDE">
        <w:rPr>
          <w:rFonts w:ascii="Arial" w:eastAsia="Times New Roman" w:hAnsi="Arial" w:cs="Arial"/>
          <w:color w:val="000000"/>
        </w:rPr>
        <w:t xml:space="preserve">Mullins, C., </w:t>
      </w:r>
      <w:proofErr w:type="spellStart"/>
      <w:r w:rsidRPr="00312DDE">
        <w:rPr>
          <w:rFonts w:ascii="Arial" w:eastAsia="Times New Roman" w:hAnsi="Arial" w:cs="Arial"/>
          <w:color w:val="000000"/>
        </w:rPr>
        <w:t>Fishell</w:t>
      </w:r>
      <w:proofErr w:type="spellEnd"/>
      <w:r w:rsidRPr="00312DDE">
        <w:rPr>
          <w:rFonts w:ascii="Arial" w:eastAsia="Times New Roman" w:hAnsi="Arial" w:cs="Arial"/>
          <w:color w:val="000000"/>
        </w:rPr>
        <w:t xml:space="preserve">, G., &amp; </w:t>
      </w:r>
      <w:proofErr w:type="spellStart"/>
      <w:r w:rsidRPr="00312DDE">
        <w:rPr>
          <w:rFonts w:ascii="Arial" w:eastAsia="Times New Roman" w:hAnsi="Arial" w:cs="Arial"/>
          <w:color w:val="000000"/>
        </w:rPr>
        <w:t>Tsien</w:t>
      </w:r>
      <w:proofErr w:type="spellEnd"/>
      <w:r w:rsidRPr="00312DDE">
        <w:rPr>
          <w:rFonts w:ascii="Arial" w:eastAsia="Times New Roman" w:hAnsi="Arial" w:cs="Arial"/>
          <w:color w:val="000000"/>
        </w:rPr>
        <w:t xml:space="preserve">, R. W. (2016). Unifying Views of Autism Spectrum Disorders: A Consideration of </w:t>
      </w:r>
      <w:proofErr w:type="spellStart"/>
      <w:r w:rsidRPr="00312DDE">
        <w:rPr>
          <w:rFonts w:ascii="Arial" w:eastAsia="Times New Roman" w:hAnsi="Arial" w:cs="Arial"/>
          <w:color w:val="000000"/>
        </w:rPr>
        <w:t>Autoregulatory</w:t>
      </w:r>
      <w:proofErr w:type="spellEnd"/>
      <w:r w:rsidRPr="00312DDE">
        <w:rPr>
          <w:rFonts w:ascii="Arial" w:eastAsia="Times New Roman" w:hAnsi="Arial" w:cs="Arial"/>
          <w:color w:val="000000"/>
        </w:rPr>
        <w:t xml:space="preserve"> Feedback Loops. </w:t>
      </w:r>
      <w:r w:rsidRPr="00312DDE">
        <w:rPr>
          <w:rFonts w:ascii="Arial" w:eastAsia="Times New Roman" w:hAnsi="Arial" w:cs="Arial"/>
          <w:i/>
          <w:iCs/>
          <w:color w:val="000000"/>
        </w:rPr>
        <w:t>Neuron</w:t>
      </w:r>
      <w:r w:rsidRPr="00312DDE">
        <w:rPr>
          <w:rFonts w:ascii="Arial" w:eastAsia="Times New Roman" w:hAnsi="Arial" w:cs="Arial"/>
          <w:color w:val="000000"/>
        </w:rPr>
        <w:t xml:space="preserve">, </w:t>
      </w:r>
      <w:r w:rsidRPr="00312DDE">
        <w:rPr>
          <w:rFonts w:ascii="Arial" w:eastAsia="Times New Roman" w:hAnsi="Arial" w:cs="Arial"/>
          <w:i/>
          <w:iCs/>
          <w:color w:val="000000"/>
        </w:rPr>
        <w:t>89</w:t>
      </w:r>
      <w:r w:rsidRPr="00312DDE">
        <w:rPr>
          <w:rFonts w:ascii="Arial" w:eastAsia="Times New Roman" w:hAnsi="Arial" w:cs="Arial"/>
          <w:color w:val="000000"/>
        </w:rPr>
        <w:t>(6), 1131–1156.</w:t>
      </w:r>
      <w:hyperlink r:id="rId9" w:history="1">
        <w:r w:rsidRPr="00312DDE">
          <w:rPr>
            <w:rFonts w:ascii="Arial" w:eastAsia="Times New Roman" w:hAnsi="Arial" w:cs="Arial"/>
            <w:color w:val="000000"/>
            <w:u w:val="single"/>
          </w:rPr>
          <w:t xml:space="preserve"> </w:t>
        </w:r>
        <w:r w:rsidRPr="00312DDE">
          <w:rPr>
            <w:rFonts w:ascii="Arial" w:eastAsia="Times New Roman" w:hAnsi="Arial" w:cs="Arial"/>
            <w:color w:val="1155CC"/>
            <w:u w:val="single"/>
          </w:rPr>
          <w:t>https://doi.org/10.1016/j.neuron.2016.02.017</w:t>
        </w:r>
      </w:hyperlink>
    </w:p>
    <w:p w14:paraId="118D73E9" w14:textId="77777777" w:rsidR="00312DDE" w:rsidRDefault="00312DDE"/>
    <w:p w14:paraId="59EF63C4" w14:textId="59E47F4D" w:rsidR="00312DDE" w:rsidRDefault="00312DDE">
      <w:r>
        <w:br w:type="page"/>
      </w:r>
    </w:p>
    <w:p w14:paraId="39C37F67" w14:textId="2F89F100" w:rsidR="00D91630" w:rsidRPr="00F217AF" w:rsidRDefault="00E367F4">
      <w:proofErr w:type="spellStart"/>
      <w:r>
        <w:lastRenderedPageBreak/>
        <w:t>Rett</w:t>
      </w:r>
      <w:proofErr w:type="spellEnd"/>
      <w:r>
        <w:t xml:space="preserve"> syndrome</w:t>
      </w:r>
      <w:r w:rsidR="001925C5">
        <w:t xml:space="preserve"> (RTT)</w:t>
      </w:r>
      <w:r>
        <w:t xml:space="preserve"> is a severe </w:t>
      </w:r>
      <w:r w:rsidR="00FF7803">
        <w:t xml:space="preserve">X-linked </w:t>
      </w:r>
      <w:r>
        <w:t xml:space="preserve">neurodevelopmental disorder </w:t>
      </w:r>
      <w:r w:rsidR="00FF7803">
        <w:t>with</w:t>
      </w:r>
      <w:r w:rsidR="006A63D6">
        <w:t xml:space="preserve"> an incidence of </w:t>
      </w:r>
      <w:r w:rsidR="00F30E52">
        <w:t>1 in 10,000 to 20,000 live births</w:t>
      </w:r>
      <w:r w:rsidR="00FF7803">
        <w:t>, primarily affecting girls</w:t>
      </w:r>
      <w:r>
        <w:t xml:space="preserve">. </w:t>
      </w:r>
      <w:r w:rsidR="00FF7803">
        <w:t>P</w:t>
      </w:r>
      <w:r w:rsidR="001925C5">
        <w:t xml:space="preserve">atients </w:t>
      </w:r>
      <w:r w:rsidR="009C73D2">
        <w:t>may appear</w:t>
      </w:r>
      <w:r w:rsidR="001925C5">
        <w:t xml:space="preserve"> to develop normally until around 6 to 18 months of age, when their language and motor skills plateau and then begin a rapid regression. The severity of symptoms is highly varied, but children tend to deteriorate around age 10 and are frequently wheelchair-bound by adulthood. </w:t>
      </w:r>
      <w:r w:rsidR="00FF7803">
        <w:t xml:space="preserve">RTT </w:t>
      </w:r>
      <w:r w:rsidR="00410DDC">
        <w:t>Patients have a higher incidence of sudden and unexpected death (26%)</w:t>
      </w:r>
      <w:r w:rsidR="009C73D2">
        <w:t xml:space="preserve"> than</w:t>
      </w:r>
      <w:r w:rsidR="00FF7803">
        <w:t xml:space="preserve"> is seen in</w:t>
      </w:r>
      <w:r w:rsidR="009C73D2">
        <w:t xml:space="preserve"> </w:t>
      </w:r>
      <w:r w:rsidR="00FF7803">
        <w:t>their</w:t>
      </w:r>
      <w:r w:rsidR="009C73D2">
        <w:t xml:space="preserve"> </w:t>
      </w:r>
      <w:r w:rsidR="00FF7803">
        <w:t>age peers that is</w:t>
      </w:r>
      <w:r w:rsidR="00410DDC">
        <w:t xml:space="preserve"> mostly due to cardiac and respiratory complications.</w:t>
      </w:r>
      <w:r w:rsidR="00247556">
        <w:t xml:space="preserve"> </w:t>
      </w:r>
      <w:r>
        <w:t>The main criteria for RTT diagnosis is loss of</w:t>
      </w:r>
      <w:r w:rsidR="006349A4">
        <w:t xml:space="preserve"> spoken</w:t>
      </w:r>
      <w:r>
        <w:t xml:space="preserve"> language, loss of purposeful hand </w:t>
      </w:r>
      <w:r w:rsidR="001925C5">
        <w:t>skills</w:t>
      </w:r>
      <w:r>
        <w:t xml:space="preserve">, gait </w:t>
      </w:r>
      <w:r w:rsidR="006349A4">
        <w:t xml:space="preserve">and motor </w:t>
      </w:r>
      <w:r w:rsidR="001925C5">
        <w:t>abnormalities</w:t>
      </w:r>
      <w:r>
        <w:t>, and stereotypic hand movements. Other i</w:t>
      </w:r>
      <w:r w:rsidR="00410DDC">
        <w:t>mportant symptoms include autistic behaviors</w:t>
      </w:r>
      <w:r w:rsidR="006F0D7F">
        <w:t xml:space="preserve">, </w:t>
      </w:r>
      <w:r w:rsidR="00410DDC">
        <w:t>seizures</w:t>
      </w:r>
      <w:r>
        <w:t xml:space="preserve">, autonomic dysfunction, </w:t>
      </w:r>
      <w:r w:rsidR="006F0D7F">
        <w:t>and</w:t>
      </w:r>
      <w:r w:rsidR="00264511">
        <w:t xml:space="preserve"> profound</w:t>
      </w:r>
      <w:r w:rsidR="006F0D7F">
        <w:t xml:space="preserve"> intellectual disability. </w:t>
      </w:r>
      <w:r w:rsidR="001925C5">
        <w:t xml:space="preserve">RTT </w:t>
      </w:r>
      <w:proofErr w:type="gramStart"/>
      <w:r w:rsidR="001925C5">
        <w:t>is classified</w:t>
      </w:r>
      <w:proofErr w:type="gramEnd"/>
      <w:r w:rsidR="001925C5">
        <w:t xml:space="preserve"> as </w:t>
      </w:r>
      <w:r w:rsidR="00DB2702">
        <w:t>typical when</w:t>
      </w:r>
      <w:r w:rsidR="00455B52">
        <w:t xml:space="preserve"> a patient presents with all four main criteria, and as a</w:t>
      </w:r>
      <w:r w:rsidR="00DB2702">
        <w:t>typical when</w:t>
      </w:r>
      <w:r w:rsidR="00455B52">
        <w:t xml:space="preserve"> </w:t>
      </w:r>
      <w:r w:rsidR="00247556">
        <w:t>a patient shows</w:t>
      </w:r>
      <w:r w:rsidR="00455B52">
        <w:t xml:space="preserve"> at least two of the main criteria and five</w:t>
      </w:r>
      <w:r w:rsidR="001925C5">
        <w:t xml:space="preserve"> out of eleven</w:t>
      </w:r>
      <w:r w:rsidR="00455B52">
        <w:t xml:space="preserve"> supporting criteria. </w:t>
      </w:r>
      <w:r w:rsidR="00410DDC">
        <w:t>The disease</w:t>
      </w:r>
      <w:r w:rsidR="00455B52">
        <w:t xml:space="preserve"> i</w:t>
      </w:r>
      <w:r w:rsidR="00410DDC">
        <w:t>s</w:t>
      </w:r>
      <w:r w:rsidR="00455B52">
        <w:t xml:space="preserve"> monogenic, with 97-98% of typical cases and 85% of atypical cases caused by loss-of-function mutations in the </w:t>
      </w:r>
      <w:r w:rsidR="001925C5">
        <w:t>gene</w:t>
      </w:r>
      <w:r w:rsidR="00FF7803">
        <w:t xml:space="preserve"> </w:t>
      </w:r>
      <w:r w:rsidR="00FF7803" w:rsidRPr="001925C5">
        <w:t>methyl-</w:t>
      </w:r>
      <w:proofErr w:type="spellStart"/>
      <w:r w:rsidR="00FF7803" w:rsidRPr="001925C5">
        <w:t>CpG</w:t>
      </w:r>
      <w:proofErr w:type="spellEnd"/>
      <w:r w:rsidR="00FF7803" w:rsidRPr="001925C5">
        <w:t>-binding protein 2</w:t>
      </w:r>
      <w:r w:rsidR="00C458B5">
        <w:t xml:space="preserve"> </w:t>
      </w:r>
      <w:r w:rsidR="00FF7803">
        <w:t>(</w:t>
      </w:r>
      <w:r w:rsidR="001925C5">
        <w:rPr>
          <w:i/>
        </w:rPr>
        <w:t>MECP2</w:t>
      </w:r>
      <w:r w:rsidR="00FF7803">
        <w:rPr>
          <w:i/>
        </w:rPr>
        <w:t>)</w:t>
      </w:r>
      <w:r w:rsidR="001925C5">
        <w:t>.</w:t>
      </w:r>
      <w:r w:rsidR="00F217AF">
        <w:t xml:space="preserve"> A</w:t>
      </w:r>
      <w:r w:rsidR="00F04D23">
        <w:t xml:space="preserve">typical </w:t>
      </w:r>
      <w:r w:rsidR="00D91630">
        <w:t xml:space="preserve">RTT </w:t>
      </w:r>
      <w:r w:rsidR="00F217AF">
        <w:t xml:space="preserve">can also be caused by mutations in </w:t>
      </w:r>
      <w:r w:rsidR="00F217AF">
        <w:rPr>
          <w:i/>
        </w:rPr>
        <w:t xml:space="preserve">MECP2 </w:t>
      </w:r>
      <w:r w:rsidR="00F217AF">
        <w:t xml:space="preserve">or more rarely </w:t>
      </w:r>
      <w:r w:rsidR="009C73D2">
        <w:t>by mutations in</w:t>
      </w:r>
      <w:r w:rsidR="00F217AF">
        <w:t xml:space="preserve"> other genes such as </w:t>
      </w:r>
      <w:proofErr w:type="spellStart"/>
      <w:r w:rsidR="00F217AF">
        <w:t>forkhead</w:t>
      </w:r>
      <w:proofErr w:type="spellEnd"/>
      <w:r w:rsidR="00F217AF">
        <w:t xml:space="preserve"> box G1 gene (</w:t>
      </w:r>
      <w:r w:rsidR="00F217AF" w:rsidRPr="00F217AF">
        <w:rPr>
          <w:i/>
        </w:rPr>
        <w:t>FOXG1</w:t>
      </w:r>
      <w:r w:rsidR="00F217AF">
        <w:t>)</w:t>
      </w:r>
      <w:r w:rsidR="00AF107B">
        <w:t>, which causes a preserved speech variant,</w:t>
      </w:r>
      <w:r w:rsidR="00F217AF">
        <w:t xml:space="preserve"> or</w:t>
      </w:r>
      <w:r w:rsidR="009C73D2">
        <w:t xml:space="preserve"> the </w:t>
      </w:r>
      <w:r w:rsidR="00247556" w:rsidRPr="00247556">
        <w:t>cyclin-dependent kinase-like 5 (</w:t>
      </w:r>
      <w:r w:rsidR="00247556" w:rsidRPr="00247556">
        <w:rPr>
          <w:i/>
        </w:rPr>
        <w:t>CDKL5</w:t>
      </w:r>
      <w:r w:rsidR="00247556">
        <w:t>)</w:t>
      </w:r>
      <w:r w:rsidR="00AF107B">
        <w:t xml:space="preserve">, which causes a variant with early-onset seizures. </w:t>
      </w:r>
      <w:r w:rsidR="00F217AF" w:rsidRPr="00247556">
        <w:rPr>
          <w:i/>
        </w:rPr>
        <w:t>CDKL5</w:t>
      </w:r>
      <w:r w:rsidR="00F217AF">
        <w:rPr>
          <w:i/>
        </w:rPr>
        <w:t xml:space="preserve"> </w:t>
      </w:r>
      <w:r w:rsidR="00F217AF">
        <w:t xml:space="preserve">can also cause </w:t>
      </w:r>
    </w:p>
    <w:p w14:paraId="41215B2D" w14:textId="13BC8954" w:rsidR="00F217AF" w:rsidRPr="003F1B74" w:rsidRDefault="00F217AF">
      <w:r>
        <w:t>M</w:t>
      </w:r>
      <w:r w:rsidR="00F0379A" w:rsidRPr="00F0379A">
        <w:t xml:space="preserve">utations in </w:t>
      </w:r>
      <w:proofErr w:type="spellStart"/>
      <w:r w:rsidR="00F0379A" w:rsidRPr="00F0379A">
        <w:t>syntaxin</w:t>
      </w:r>
      <w:proofErr w:type="spellEnd"/>
      <w:r w:rsidR="00F0379A" w:rsidRPr="00F0379A">
        <w:t xml:space="preserve"> binding protein 1</w:t>
      </w:r>
      <w:r w:rsidR="00F0379A">
        <w:rPr>
          <w:i/>
        </w:rPr>
        <w:t xml:space="preserve"> (</w:t>
      </w:r>
      <w:r w:rsidR="003F1B74" w:rsidRPr="003F1B74">
        <w:rPr>
          <w:i/>
        </w:rPr>
        <w:t>STXBP1</w:t>
      </w:r>
      <w:r w:rsidR="00F0379A" w:rsidRPr="007234CA">
        <w:t>)</w:t>
      </w:r>
      <w:r w:rsidR="00D91630" w:rsidRPr="007234CA">
        <w:t xml:space="preserve"> </w:t>
      </w:r>
      <w:r w:rsidR="00F0379A" w:rsidRPr="00F0379A">
        <w:t>appear</w:t>
      </w:r>
      <w:r w:rsidR="00D91630">
        <w:t xml:space="preserve"> in </w:t>
      </w:r>
      <w:r w:rsidR="00EC3FD9">
        <w:t>a variety</w:t>
      </w:r>
      <w:r w:rsidR="00D91630">
        <w:t xml:space="preserve"> of </w:t>
      </w:r>
      <w:r w:rsidR="00EC3FD9">
        <w:t xml:space="preserve">early </w:t>
      </w:r>
      <w:r w:rsidR="00D91630">
        <w:t>infantile encephalopathies</w:t>
      </w:r>
      <w:r w:rsidR="00EC3FD9">
        <w:t xml:space="preserve">, </w:t>
      </w:r>
      <w:r w:rsidR="001F303D">
        <w:t xml:space="preserve">with one common type being </w:t>
      </w:r>
      <w:proofErr w:type="spellStart"/>
      <w:r w:rsidR="001F303D">
        <w:t>Ohtahara</w:t>
      </w:r>
      <w:proofErr w:type="spellEnd"/>
      <w:r w:rsidR="001F303D">
        <w:t xml:space="preserve"> syndrome/</w:t>
      </w:r>
      <w:r w:rsidR="00EC3FD9" w:rsidRPr="00EC3FD9">
        <w:t>early infantile epileptic encephalopathy 4 (EIEE4)</w:t>
      </w:r>
      <w:r w:rsidR="00D91630">
        <w:t xml:space="preserve">. </w:t>
      </w:r>
      <w:r w:rsidR="00A40EF7">
        <w:t>Patients</w:t>
      </w:r>
      <w:r w:rsidR="008408F8">
        <w:t xml:space="preserve"> present</w:t>
      </w:r>
      <w:r w:rsidR="00A40EF7">
        <w:t xml:space="preserve"> </w:t>
      </w:r>
      <w:r w:rsidR="00FB204F">
        <w:t>a variety of severities of</w:t>
      </w:r>
      <w:r w:rsidR="008408F8">
        <w:t xml:space="preserve"> </w:t>
      </w:r>
      <w:r w:rsidR="00D91630">
        <w:t>intellectual disability</w:t>
      </w:r>
      <w:r w:rsidR="00A40EF7">
        <w:t xml:space="preserve"> (</w:t>
      </w:r>
      <w:r w:rsidR="00FB204F">
        <w:t>~80%</w:t>
      </w:r>
      <w:r w:rsidR="00A40EF7">
        <w:t>)</w:t>
      </w:r>
      <w:r w:rsidR="00D91630">
        <w:t>, developmental delay</w:t>
      </w:r>
      <w:r w:rsidR="00FB204F">
        <w:t xml:space="preserve"> (95%)</w:t>
      </w:r>
      <w:r w:rsidR="00D91630">
        <w:t xml:space="preserve">, </w:t>
      </w:r>
      <w:r w:rsidR="00A40EF7">
        <w:t>motor disorders</w:t>
      </w:r>
      <w:r w:rsidR="00FB204F">
        <w:t xml:space="preserve"> (~55%)</w:t>
      </w:r>
      <w:r w:rsidR="00A40EF7">
        <w:t xml:space="preserve">, </w:t>
      </w:r>
      <w:r w:rsidR="00D91630">
        <w:t>epileptic seizures</w:t>
      </w:r>
      <w:r w:rsidR="00FB204F">
        <w:t xml:space="preserve"> (~90%)</w:t>
      </w:r>
      <w:r w:rsidR="00D91630">
        <w:t xml:space="preserve">, and </w:t>
      </w:r>
      <w:r w:rsidR="00A40EF7">
        <w:t>behavioral abnormalities</w:t>
      </w:r>
      <w:r w:rsidR="00FB204F">
        <w:t xml:space="preserve"> (~35%) (Reviewed in Cali et al. 2022)</w:t>
      </w:r>
      <w:r w:rsidR="00D91630">
        <w:t xml:space="preserve">. </w:t>
      </w:r>
      <w:r w:rsidR="00785EC1">
        <w:t xml:space="preserve"> Regression</w:t>
      </w:r>
      <w:r w:rsidR="009656CC">
        <w:t>, autism, and stereotypic movements</w:t>
      </w:r>
      <w:r w:rsidR="00785EC1">
        <w:t xml:space="preserve"> </w:t>
      </w:r>
      <w:r w:rsidR="009656CC">
        <w:t>are</w:t>
      </w:r>
      <w:r w:rsidR="00785EC1">
        <w:t xml:space="preserve"> sometimes also present, which has led to patients </w:t>
      </w:r>
      <w:proofErr w:type="gramStart"/>
      <w:r w:rsidR="00785EC1">
        <w:t>being diagnosed</w:t>
      </w:r>
      <w:proofErr w:type="gramEnd"/>
      <w:r w:rsidR="00785EC1">
        <w:t xml:space="preserve"> with atypical </w:t>
      </w:r>
      <w:proofErr w:type="spellStart"/>
      <w:r w:rsidR="00785EC1">
        <w:t>Rett</w:t>
      </w:r>
      <w:proofErr w:type="spellEnd"/>
      <w:r w:rsidR="00785EC1">
        <w:t xml:space="preserve"> syndrome</w:t>
      </w:r>
      <w:r w:rsidR="009656CC">
        <w:t xml:space="preserve"> (Olson et al 2015)</w:t>
      </w:r>
      <w:r w:rsidR="00785EC1">
        <w:t xml:space="preserve">. </w:t>
      </w:r>
      <w:r w:rsidR="00F0379A" w:rsidRPr="003F1B74">
        <w:rPr>
          <w:i/>
        </w:rPr>
        <w:t>STXBP1</w:t>
      </w:r>
      <w:r w:rsidR="008408F8">
        <w:rPr>
          <w:i/>
        </w:rPr>
        <w:t xml:space="preserve"> </w:t>
      </w:r>
      <w:r w:rsidR="007234CA">
        <w:t xml:space="preserve">is extremely important for normal brain development, as it is </w:t>
      </w:r>
      <w:r w:rsidR="00EC3FD9">
        <w:t>necessary for the formation of the SNARE complex</w:t>
      </w:r>
      <w:r w:rsidR="007234CA">
        <w:t xml:space="preserve"> that </w:t>
      </w:r>
      <w:r w:rsidR="00A40EF7">
        <w:t xml:space="preserve">controls </w:t>
      </w:r>
      <w:r w:rsidR="00342EB6">
        <w:t>neurotransmitter secretion</w:t>
      </w:r>
      <w:r w:rsidR="00A40EF7">
        <w:t>.</w:t>
      </w:r>
      <w:r w:rsidR="007234CA">
        <w:t xml:space="preserve"> </w:t>
      </w:r>
      <w:r w:rsidR="000E6723">
        <w:t>Loss-of-function mutations in this gene</w:t>
      </w:r>
      <w:r w:rsidR="00BF428A">
        <w:t xml:space="preserve"> </w:t>
      </w:r>
      <w:proofErr w:type="gramStart"/>
      <w:r w:rsidR="00BF428A">
        <w:t>are</w:t>
      </w:r>
      <w:r w:rsidR="00342EB6">
        <w:t xml:space="preserve"> </w:t>
      </w:r>
      <w:r w:rsidR="00BF428A">
        <w:t>strongly negatively selected</w:t>
      </w:r>
      <w:proofErr w:type="gramEnd"/>
      <w:r w:rsidR="00BF428A">
        <w:t>, with</w:t>
      </w:r>
      <w:r w:rsidR="00342EB6">
        <w:t xml:space="preserve"> </w:t>
      </w:r>
      <w:r w:rsidR="00342EB6" w:rsidRPr="003F1B74">
        <w:rPr>
          <w:i/>
        </w:rPr>
        <w:t>STXBP1</w:t>
      </w:r>
      <w:r w:rsidR="00BF428A">
        <w:t xml:space="preserve"> null neurons showing no synaptic activity at all</w:t>
      </w:r>
      <w:r w:rsidR="000E6723">
        <w:t>.</w:t>
      </w:r>
      <w:r w:rsidR="00342EB6">
        <w:t xml:space="preserve"> The main pathogenic mechanism appears to be </w:t>
      </w:r>
      <w:proofErr w:type="spellStart"/>
      <w:r w:rsidR="00342EB6">
        <w:t>haploinsufficiency</w:t>
      </w:r>
      <w:proofErr w:type="spellEnd"/>
      <w:r w:rsidR="00342EB6">
        <w:t xml:space="preserve"> in patients with heterozygous mutations that reduce synaptic activity in both excitatory and inhibitory neurons. GABAergic neurons have been reported to be more greatly impacted by</w:t>
      </w:r>
      <w:r w:rsidR="00342EB6" w:rsidRPr="00342EB6">
        <w:rPr>
          <w:i/>
        </w:rPr>
        <w:t xml:space="preserve"> </w:t>
      </w:r>
      <w:r w:rsidR="00342EB6" w:rsidRPr="003F1B74">
        <w:rPr>
          <w:i/>
        </w:rPr>
        <w:t>STXBP1</w:t>
      </w:r>
      <w:r w:rsidR="00342EB6">
        <w:rPr>
          <w:i/>
        </w:rPr>
        <w:t xml:space="preserve"> </w:t>
      </w:r>
      <w:r w:rsidR="00342EB6">
        <w:t xml:space="preserve">deficiency, which potentially causes a net </w:t>
      </w:r>
      <w:proofErr w:type="spellStart"/>
      <w:r w:rsidR="00342EB6">
        <w:t>hyperexcitatory</w:t>
      </w:r>
      <w:proofErr w:type="spellEnd"/>
      <w:r w:rsidR="00342EB6">
        <w:t xml:space="preserve"> </w:t>
      </w:r>
      <w:r w:rsidR="007E543C">
        <w:t xml:space="preserve">state </w:t>
      </w:r>
      <w:proofErr w:type="gramStart"/>
      <w:r w:rsidR="007E543C">
        <w:t>that results</w:t>
      </w:r>
      <w:proofErr w:type="gramEnd"/>
      <w:r w:rsidR="007E543C">
        <w:t xml:space="preserve"> in the observed epileptic symptoms</w:t>
      </w:r>
      <w:r w:rsidR="00342EB6">
        <w:t xml:space="preserve">. </w:t>
      </w:r>
      <w:r w:rsidR="000E6723">
        <w:t xml:space="preserve">  </w:t>
      </w:r>
      <w:r w:rsidR="00A40EF7">
        <w:t xml:space="preserve"> </w:t>
      </w:r>
    </w:p>
    <w:p w14:paraId="3B937274" w14:textId="20EBE4FA" w:rsidR="006D3CA7" w:rsidRPr="00D811C8" w:rsidRDefault="00987C7A">
      <w:r>
        <w:t xml:space="preserve">GRIN-related encephalopathies </w:t>
      </w:r>
      <w:r w:rsidR="00F66180">
        <w:t xml:space="preserve">cause a similar phenotype to the previously mentioned disorders, with intellectual disability, autism, movement disorders, and epilepsy commonly seen in patients. These disorders </w:t>
      </w:r>
      <w:proofErr w:type="gramStart"/>
      <w:r w:rsidR="00F66180">
        <w:t xml:space="preserve">are </w:t>
      </w:r>
      <w:r>
        <w:t>caused</w:t>
      </w:r>
      <w:proofErr w:type="gramEnd"/>
      <w:r>
        <w:t xml:space="preserve"> by mutations in </w:t>
      </w:r>
      <w:r>
        <w:rPr>
          <w:i/>
        </w:rPr>
        <w:t xml:space="preserve">GRIN </w:t>
      </w:r>
      <w:r>
        <w:t xml:space="preserve">genes, which encode the subunits that form the </w:t>
      </w:r>
      <w:r w:rsidRPr="00987C7A">
        <w:t>N-methyl-D-aspartate (NMDA</w:t>
      </w:r>
      <w:r>
        <w:t xml:space="preserve">) ionotropic glutamate receptors. The most common mutations occur in genes </w:t>
      </w:r>
      <w:r w:rsidRPr="00987C7A">
        <w:rPr>
          <w:i/>
        </w:rPr>
        <w:t>GRIN1</w:t>
      </w:r>
      <w:r w:rsidRPr="00987C7A">
        <w:t xml:space="preserve">, </w:t>
      </w:r>
      <w:r w:rsidRPr="00987C7A">
        <w:rPr>
          <w:i/>
        </w:rPr>
        <w:t>GRIN2A</w:t>
      </w:r>
      <w:r w:rsidRPr="00987C7A">
        <w:t xml:space="preserve">, </w:t>
      </w:r>
      <w:r w:rsidR="00677087" w:rsidRPr="00677087">
        <w:t>and</w:t>
      </w:r>
      <w:r w:rsidR="00677087">
        <w:rPr>
          <w:i/>
        </w:rPr>
        <w:t xml:space="preserve"> </w:t>
      </w:r>
      <w:r w:rsidRPr="00987C7A">
        <w:rPr>
          <w:i/>
        </w:rPr>
        <w:t>GRIN2B</w:t>
      </w:r>
      <w:r w:rsidR="009F2461">
        <w:t>. T</w:t>
      </w:r>
      <w:r w:rsidR="00F66180">
        <w:t xml:space="preserve">he severity of symptoms varies depending on the gene that </w:t>
      </w:r>
      <w:proofErr w:type="gramStart"/>
      <w:r w:rsidR="00F66180">
        <w:t>is mutated</w:t>
      </w:r>
      <w:proofErr w:type="gramEnd"/>
      <w:r w:rsidR="00F66180">
        <w:t xml:space="preserve">, with </w:t>
      </w:r>
      <w:r w:rsidR="00F66180">
        <w:rPr>
          <w:i/>
        </w:rPr>
        <w:t xml:space="preserve">GRIN1 </w:t>
      </w:r>
      <w:r w:rsidR="00F66180">
        <w:t xml:space="preserve">mutations generally </w:t>
      </w:r>
      <w:r w:rsidR="00D667ED">
        <w:t>resulting in</w:t>
      </w:r>
      <w:r w:rsidR="00F66180">
        <w:t xml:space="preserve"> more severe cases</w:t>
      </w:r>
      <w:r w:rsidR="00D667ED">
        <w:t xml:space="preserve"> (</w:t>
      </w:r>
      <w:r w:rsidR="00D667ED" w:rsidRPr="00D667ED">
        <w:t>Santos-Gómez</w:t>
      </w:r>
      <w:r w:rsidR="00D667ED">
        <w:t xml:space="preserve"> et al. 2021)</w:t>
      </w:r>
      <w:r w:rsidR="00F66180">
        <w:t xml:space="preserve">. </w:t>
      </w:r>
      <w:r w:rsidR="009F2461">
        <w:t xml:space="preserve">In contrast, both loss- and gain-of-function mutations </w:t>
      </w:r>
      <w:proofErr w:type="gramStart"/>
      <w:r w:rsidR="009F2461">
        <w:t>have been reported</w:t>
      </w:r>
      <w:proofErr w:type="gramEnd"/>
      <w:r w:rsidR="009F2461">
        <w:t xml:space="preserve"> to result in similar phenotypes (</w:t>
      </w:r>
      <w:proofErr w:type="spellStart"/>
      <w:r w:rsidR="009F2461">
        <w:t>Swanger</w:t>
      </w:r>
      <w:proofErr w:type="spellEnd"/>
      <w:r w:rsidR="009F2461">
        <w:t xml:space="preserve"> et al. 2016) (</w:t>
      </w:r>
      <w:proofErr w:type="spellStart"/>
      <w:r w:rsidR="009F2461" w:rsidRPr="009F2461">
        <w:t>XiangWei</w:t>
      </w:r>
      <w:proofErr w:type="spellEnd"/>
      <w:r w:rsidR="009F2461">
        <w:t xml:space="preserve"> et al. 2017)</w:t>
      </w:r>
    </w:p>
    <w:sectPr w:rsidR="006D3CA7" w:rsidRPr="00D811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1C8"/>
    <w:rsid w:val="00035F04"/>
    <w:rsid w:val="00041C9D"/>
    <w:rsid w:val="000E6723"/>
    <w:rsid w:val="00134BD2"/>
    <w:rsid w:val="001925C5"/>
    <w:rsid w:val="001968EC"/>
    <w:rsid w:val="001F303D"/>
    <w:rsid w:val="00247406"/>
    <w:rsid w:val="00247556"/>
    <w:rsid w:val="00264511"/>
    <w:rsid w:val="00312DDE"/>
    <w:rsid w:val="00342EB6"/>
    <w:rsid w:val="003F1B74"/>
    <w:rsid w:val="00410DDC"/>
    <w:rsid w:val="00455B52"/>
    <w:rsid w:val="004E2FB2"/>
    <w:rsid w:val="00531D93"/>
    <w:rsid w:val="00605062"/>
    <w:rsid w:val="006349A4"/>
    <w:rsid w:val="00677087"/>
    <w:rsid w:val="006A63D6"/>
    <w:rsid w:val="006D3CA7"/>
    <w:rsid w:val="006F0D7F"/>
    <w:rsid w:val="007234CA"/>
    <w:rsid w:val="00774FAD"/>
    <w:rsid w:val="00785EC1"/>
    <w:rsid w:val="007E543C"/>
    <w:rsid w:val="007F4D95"/>
    <w:rsid w:val="008408F8"/>
    <w:rsid w:val="009656CC"/>
    <w:rsid w:val="00987C7A"/>
    <w:rsid w:val="009C73D2"/>
    <w:rsid w:val="009F2461"/>
    <w:rsid w:val="00A3116A"/>
    <w:rsid w:val="00A40EF7"/>
    <w:rsid w:val="00AF107B"/>
    <w:rsid w:val="00BF428A"/>
    <w:rsid w:val="00C458B5"/>
    <w:rsid w:val="00CF51AE"/>
    <w:rsid w:val="00D44C39"/>
    <w:rsid w:val="00D667ED"/>
    <w:rsid w:val="00D811C8"/>
    <w:rsid w:val="00D91630"/>
    <w:rsid w:val="00DB2702"/>
    <w:rsid w:val="00DD5C58"/>
    <w:rsid w:val="00DF7F19"/>
    <w:rsid w:val="00E367F4"/>
    <w:rsid w:val="00EC3FD9"/>
    <w:rsid w:val="00F0379A"/>
    <w:rsid w:val="00F04D23"/>
    <w:rsid w:val="00F217AF"/>
    <w:rsid w:val="00F30E52"/>
    <w:rsid w:val="00F66180"/>
    <w:rsid w:val="00FB204F"/>
    <w:rsid w:val="00FF78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87FD"/>
  <w15:chartTrackingRefBased/>
  <w15:docId w15:val="{DD983C25-3868-4719-943A-4E35789C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6349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49A4"/>
    <w:rPr>
      <w:rFonts w:asciiTheme="majorHAnsi" w:eastAsiaTheme="majorEastAsia" w:hAnsiTheme="majorHAnsi" w:cstheme="majorBidi"/>
      <w:color w:val="2E74B5" w:themeColor="accent1" w:themeShade="BF"/>
      <w:sz w:val="32"/>
      <w:szCs w:val="32"/>
      <w:lang w:val="en-US"/>
    </w:rPr>
  </w:style>
  <w:style w:type="paragraph" w:styleId="NormalWeb">
    <w:name w:val="Normal (Web)"/>
    <w:basedOn w:val="Normal"/>
    <w:uiPriority w:val="99"/>
    <w:semiHidden/>
    <w:unhideWhenUsed/>
    <w:rsid w:val="00312DD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312D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968236">
      <w:bodyDiv w:val="1"/>
      <w:marLeft w:val="0"/>
      <w:marRight w:val="0"/>
      <w:marTop w:val="0"/>
      <w:marBottom w:val="0"/>
      <w:divBdr>
        <w:top w:val="none" w:sz="0" w:space="0" w:color="auto"/>
        <w:left w:val="none" w:sz="0" w:space="0" w:color="auto"/>
        <w:bottom w:val="none" w:sz="0" w:space="0" w:color="auto"/>
        <w:right w:val="none" w:sz="0" w:space="0" w:color="auto"/>
      </w:divBdr>
    </w:div>
    <w:div w:id="1463382995">
      <w:bodyDiv w:val="1"/>
      <w:marLeft w:val="0"/>
      <w:marRight w:val="0"/>
      <w:marTop w:val="0"/>
      <w:marBottom w:val="0"/>
      <w:divBdr>
        <w:top w:val="none" w:sz="0" w:space="0" w:color="auto"/>
        <w:left w:val="none" w:sz="0" w:space="0" w:color="auto"/>
        <w:bottom w:val="none" w:sz="0" w:space="0" w:color="auto"/>
        <w:right w:val="none" w:sz="0" w:space="0" w:color="auto"/>
      </w:divBdr>
      <w:divsChild>
        <w:div w:id="1558199369">
          <w:marLeft w:val="0"/>
          <w:marRight w:val="0"/>
          <w:marTop w:val="0"/>
          <w:marBottom w:val="0"/>
          <w:divBdr>
            <w:top w:val="none" w:sz="0" w:space="0" w:color="auto"/>
            <w:left w:val="none" w:sz="0" w:space="0" w:color="auto"/>
            <w:bottom w:val="none" w:sz="0" w:space="0" w:color="auto"/>
            <w:right w:val="none" w:sz="0" w:space="0" w:color="auto"/>
          </w:divBdr>
          <w:divsChild>
            <w:div w:id="65342466">
              <w:marLeft w:val="0"/>
              <w:marRight w:val="0"/>
              <w:marTop w:val="0"/>
              <w:marBottom w:val="0"/>
              <w:divBdr>
                <w:top w:val="none" w:sz="0" w:space="0" w:color="auto"/>
                <w:left w:val="none" w:sz="0" w:space="0" w:color="auto"/>
                <w:bottom w:val="none" w:sz="0" w:space="0" w:color="auto"/>
                <w:right w:val="none" w:sz="0" w:space="0" w:color="auto"/>
              </w:divBdr>
            </w:div>
            <w:div w:id="6309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npbp.2017.09.014" TargetMode="External"/><Relationship Id="rId3" Type="http://schemas.openxmlformats.org/officeDocument/2006/relationships/customXml" Target="../customXml/item3.xml"/><Relationship Id="rId7" Type="http://schemas.openxmlformats.org/officeDocument/2006/relationships/hyperlink" Target="https://doi.org/10.1515/revneuro-2019-001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i.org/10.1016/j.neuron.2016.02.01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ACE5D818E5F50479853446EE507747E" ma:contentTypeVersion="2" ma:contentTypeDescription="Crear nuevo documento." ma:contentTypeScope="" ma:versionID="52eb38fae97344e17574b9b36a739a0e">
  <xsd:schema xmlns:xsd="http://www.w3.org/2001/XMLSchema" xmlns:xs="http://www.w3.org/2001/XMLSchema" xmlns:p="http://schemas.microsoft.com/office/2006/metadata/properties" xmlns:ns3="d3de4b96-056f-41d8-923d-53addee4e8b2" targetNamespace="http://schemas.microsoft.com/office/2006/metadata/properties" ma:root="true" ma:fieldsID="5a04757d598010fbc3723f0ff9702a61" ns3:_="">
    <xsd:import namespace="d3de4b96-056f-41d8-923d-53addee4e8b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e4b96-056f-41d8-923d-53addee4e8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B2F18E-0BF4-40D2-B930-7AD205656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de4b96-056f-41d8-923d-53addee4e8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060D7D-BEC9-43CA-8D91-BEB80028F08E}">
  <ds:schemaRefs>
    <ds:schemaRef ds:uri="http://schemas.microsoft.com/sharepoint/v3/contenttype/forms"/>
  </ds:schemaRefs>
</ds:datastoreItem>
</file>

<file path=customXml/itemProps3.xml><?xml version="1.0" encoding="utf-8"?>
<ds:datastoreItem xmlns:ds="http://schemas.openxmlformats.org/officeDocument/2006/customXml" ds:itemID="{74F664CA-5069-47F8-9E11-54C18682CD36}">
  <ds:schemaRefs>
    <ds:schemaRef ds:uri="http://schemas.microsoft.com/office/2006/metadata/properties"/>
    <ds:schemaRef ds:uri="http://www.w3.org/XML/1998/namespace"/>
    <ds:schemaRef ds:uri="http://purl.org/dc/elements/1.1/"/>
    <ds:schemaRef ds:uri="http://schemas.microsoft.com/office/2006/documentManagement/types"/>
    <ds:schemaRef ds:uri="http://purl.org/dc/terms/"/>
    <ds:schemaRef ds:uri="d3de4b96-056f-41d8-923d-53addee4e8b2"/>
    <ds:schemaRef ds:uri="http://purl.org/dc/dcmityp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3</Pages>
  <Words>1173</Words>
  <Characters>6688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HSJDBCN</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Sofia Illescas Brol</dc:creator>
  <cp:keywords/>
  <dc:description/>
  <cp:lastModifiedBy>Katia Sofia Illescas Brol</cp:lastModifiedBy>
  <cp:revision>4</cp:revision>
  <dcterms:created xsi:type="dcterms:W3CDTF">2023-07-13T10:46:00Z</dcterms:created>
  <dcterms:modified xsi:type="dcterms:W3CDTF">2023-07-21T15:23:00Z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0x010100FACE5D818E5F50479853446EE507747E</vt:lpwstr>
  </property>
</Properties>
</file>