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E745D" w14:textId="77777777" w:rsidR="001A546E" w:rsidRPr="00D2188E" w:rsidRDefault="00D2188E" w:rsidP="00D2188E">
      <w:pPr>
        <w:pStyle w:val="Ttulo1"/>
        <w:rPr>
          <w:lang w:val="en-US"/>
        </w:rPr>
      </w:pPr>
      <w:r w:rsidRPr="00665531">
        <w:rPr>
          <w:lang w:val="en-US"/>
        </w:rPr>
        <w:t>Methods</w:t>
      </w:r>
    </w:p>
    <w:p w14:paraId="7832CEC0" w14:textId="77777777" w:rsidR="00D2188E" w:rsidRDefault="00D2188E" w:rsidP="00D2188E">
      <w:pPr>
        <w:pStyle w:val="Subttulo"/>
        <w:rPr>
          <w:lang w:val="en-US"/>
        </w:rPr>
      </w:pPr>
      <w:r>
        <w:rPr>
          <w:lang w:val="en-US"/>
        </w:rPr>
        <w:t>Sample collection</w:t>
      </w:r>
    </w:p>
    <w:p w14:paraId="50329A14" w14:textId="153227B4" w:rsidR="00D2188E" w:rsidRPr="00174278" w:rsidRDefault="001D1E06" w:rsidP="00174278">
      <w:pPr>
        <w:jc w:val="both"/>
        <w:rPr>
          <w:lang w:val="en-US"/>
        </w:rPr>
      </w:pPr>
      <w:r>
        <w:rPr>
          <w:lang w:val="en-US"/>
        </w:rPr>
        <w:t>C</w:t>
      </w:r>
      <w:r w:rsidR="00AF1225">
        <w:rPr>
          <w:lang w:val="en-US"/>
        </w:rPr>
        <w:t xml:space="preserve">erebrospinal fluid </w:t>
      </w:r>
      <w:proofErr w:type="gramStart"/>
      <w:r>
        <w:rPr>
          <w:lang w:val="en-US"/>
        </w:rPr>
        <w:t>was collected</w:t>
      </w:r>
      <w:proofErr w:type="gramEnd"/>
      <w:r>
        <w:rPr>
          <w:lang w:val="en-US"/>
        </w:rPr>
        <w:t xml:space="preserve"> from a total of 25 patients</w:t>
      </w:r>
      <w:r w:rsidR="003D3D9F">
        <w:rPr>
          <w:lang w:val="en-US"/>
        </w:rPr>
        <w:t xml:space="preserve"> and 5 </w:t>
      </w:r>
      <w:r w:rsidR="003D3D9F" w:rsidRPr="003D3D9F">
        <w:rPr>
          <w:lang w:val="en-US"/>
        </w:rPr>
        <w:t>healthy controls</w:t>
      </w:r>
      <w:r w:rsidR="003D3D9F">
        <w:rPr>
          <w:lang w:val="en-US"/>
        </w:rPr>
        <w:t>. Patients presented</w:t>
      </w:r>
      <w:r>
        <w:rPr>
          <w:lang w:val="en-US"/>
        </w:rPr>
        <w:t xml:space="preserve"> mutations in the genes </w:t>
      </w:r>
      <w:r>
        <w:rPr>
          <w:i/>
          <w:lang w:val="en-US"/>
        </w:rPr>
        <w:t>CDKL5</w:t>
      </w:r>
      <w:r>
        <w:rPr>
          <w:lang w:val="en-US"/>
        </w:rPr>
        <w:t xml:space="preserve"> (n=2), </w:t>
      </w:r>
      <w:r>
        <w:rPr>
          <w:i/>
          <w:lang w:val="en-US"/>
        </w:rPr>
        <w:t xml:space="preserve">GRIN </w:t>
      </w:r>
      <w:r>
        <w:rPr>
          <w:lang w:val="en-US"/>
        </w:rPr>
        <w:t xml:space="preserve">(n=7), </w:t>
      </w:r>
      <w:r>
        <w:rPr>
          <w:i/>
          <w:lang w:val="en-US"/>
        </w:rPr>
        <w:t xml:space="preserve">MECP2 </w:t>
      </w:r>
      <w:r>
        <w:rPr>
          <w:lang w:val="en-US"/>
        </w:rPr>
        <w:t>(n=12),</w:t>
      </w:r>
      <w:r w:rsidR="003D3D9F">
        <w:rPr>
          <w:lang w:val="en-US"/>
        </w:rPr>
        <w:t xml:space="preserve"> and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STXBP1 </w:t>
      </w:r>
      <w:r>
        <w:rPr>
          <w:lang w:val="en-US"/>
        </w:rPr>
        <w:t xml:space="preserve">(n=4). </w:t>
      </w:r>
      <w:r w:rsidR="003D3D9F">
        <w:rPr>
          <w:lang w:val="en-US"/>
        </w:rPr>
        <w:t xml:space="preserve">The </w:t>
      </w:r>
      <w:r w:rsidR="004F4F50">
        <w:rPr>
          <w:lang w:val="en-US"/>
        </w:rPr>
        <w:t>median</w:t>
      </w:r>
      <w:r w:rsidR="003D3D9F">
        <w:rPr>
          <w:lang w:val="en-US"/>
        </w:rPr>
        <w:t xml:space="preserve"> age at the time of collection</w:t>
      </w:r>
      <w:r w:rsidR="004F4F50">
        <w:rPr>
          <w:lang w:val="en-US"/>
        </w:rPr>
        <w:t xml:space="preserve"> was 6</w:t>
      </w:r>
      <w:r w:rsidR="003D3D9F">
        <w:rPr>
          <w:lang w:val="en-US"/>
        </w:rPr>
        <w:t xml:space="preserve"> years, ranging from infancy to 18 years. The majority of patients were female (n=19) due to the large proportion of </w:t>
      </w:r>
      <w:proofErr w:type="spellStart"/>
      <w:r w:rsidR="003D3D9F">
        <w:rPr>
          <w:lang w:val="en-US"/>
        </w:rPr>
        <w:t>Rett</w:t>
      </w:r>
      <w:proofErr w:type="spellEnd"/>
      <w:r w:rsidR="003D3D9F">
        <w:rPr>
          <w:lang w:val="en-US"/>
        </w:rPr>
        <w:t xml:space="preserve"> syndrome patients that were used in this study</w:t>
      </w:r>
      <w:r w:rsidR="003D3D9F" w:rsidRPr="00174278">
        <w:rPr>
          <w:highlight w:val="yellow"/>
          <w:lang w:val="en-US"/>
        </w:rPr>
        <w:t xml:space="preserve">. </w:t>
      </w:r>
      <w:r w:rsidR="00174278" w:rsidRPr="00174278">
        <w:rPr>
          <w:highlight w:val="yellow"/>
          <w:lang w:val="en-US"/>
        </w:rPr>
        <w:t xml:space="preserve">One patient with a </w:t>
      </w:r>
      <w:r w:rsidR="00174278" w:rsidRPr="00174278">
        <w:rPr>
          <w:i/>
          <w:highlight w:val="yellow"/>
          <w:lang w:val="en-US"/>
        </w:rPr>
        <w:t xml:space="preserve">GRIN </w:t>
      </w:r>
      <w:r w:rsidR="00174278" w:rsidRPr="00174278">
        <w:rPr>
          <w:highlight w:val="yellow"/>
          <w:lang w:val="en-US"/>
        </w:rPr>
        <w:t xml:space="preserve">mutation </w:t>
      </w:r>
      <w:proofErr w:type="gramStart"/>
      <w:r w:rsidR="00174278" w:rsidRPr="00174278">
        <w:rPr>
          <w:highlight w:val="yellow"/>
          <w:lang w:val="en-US"/>
        </w:rPr>
        <w:t>was excluded</w:t>
      </w:r>
      <w:proofErr w:type="gramEnd"/>
      <w:r w:rsidR="00174278" w:rsidRPr="00174278">
        <w:rPr>
          <w:highlight w:val="yellow"/>
          <w:lang w:val="en-US"/>
        </w:rPr>
        <w:t xml:space="preserve"> from the study due to the severity of her symptoms and her early dead.</w:t>
      </w:r>
      <w:r w:rsidR="00174278">
        <w:rPr>
          <w:lang w:val="en-US"/>
        </w:rPr>
        <w:t xml:space="preserve"> </w:t>
      </w:r>
    </w:p>
    <w:tbl>
      <w:tblPr>
        <w:tblStyle w:val="Tablanormal2"/>
        <w:tblW w:w="0" w:type="auto"/>
        <w:jc w:val="center"/>
        <w:tblBorders>
          <w:top w:val="none" w:sz="0" w:space="0" w:color="auto"/>
          <w:bottom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402"/>
        <w:gridCol w:w="2260"/>
      </w:tblGrid>
      <w:tr w:rsidR="00AF1225" w14:paraId="7535E613" w14:textId="77777777" w:rsidTr="00665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bottom w:val="single" w:sz="4" w:space="0" w:color="auto"/>
            </w:tcBorders>
            <w:vAlign w:val="center"/>
          </w:tcPr>
          <w:p w14:paraId="404DD4B2" w14:textId="77777777" w:rsidR="00AF1225" w:rsidRPr="00665531" w:rsidRDefault="00AF1225" w:rsidP="00665531">
            <w:pPr>
              <w:jc w:val="center"/>
              <w:rPr>
                <w:sz w:val="24"/>
                <w:lang w:val="en-US"/>
              </w:rPr>
            </w:pPr>
            <w:r w:rsidRPr="00665531">
              <w:rPr>
                <w:sz w:val="24"/>
                <w:lang w:val="en-US"/>
              </w:rPr>
              <w:t>Characteristic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vAlign w:val="center"/>
          </w:tcPr>
          <w:p w14:paraId="04E58BEE" w14:textId="77777777" w:rsidR="00AF1225" w:rsidRPr="00665531" w:rsidRDefault="00AF1225" w:rsidP="006655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AF1225" w14:paraId="21044507" w14:textId="77777777" w:rsidTr="00665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FC86515" w14:textId="77777777" w:rsidR="00AF1225" w:rsidRPr="00665531" w:rsidRDefault="00AF1225" w:rsidP="00665531">
            <w:pPr>
              <w:rPr>
                <w:b w:val="0"/>
                <w:sz w:val="24"/>
                <w:lang w:val="en-US"/>
              </w:rPr>
            </w:pPr>
            <w:r w:rsidRPr="00665531">
              <w:rPr>
                <w:b w:val="0"/>
                <w:sz w:val="24"/>
                <w:lang w:val="en-US"/>
              </w:rPr>
              <w:t xml:space="preserve">Age, years, median </w:t>
            </w:r>
            <w:r w:rsidRPr="00665531">
              <w:rPr>
                <w:rFonts w:cstheme="minorHAnsi"/>
                <w:b w:val="0"/>
                <w:sz w:val="24"/>
                <w:lang w:val="en-US"/>
              </w:rPr>
              <w:t>(range)</w:t>
            </w:r>
          </w:p>
        </w:tc>
        <w:tc>
          <w:tcPr>
            <w:tcW w:w="2260" w:type="dxa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35DAABF9" w14:textId="77777777" w:rsidR="00AF1225" w:rsidRPr="00665531" w:rsidRDefault="00AF1225" w:rsidP="00665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65531">
              <w:rPr>
                <w:sz w:val="24"/>
                <w:lang w:val="en-US"/>
              </w:rPr>
              <w:t>6 (0-18)</w:t>
            </w:r>
          </w:p>
        </w:tc>
      </w:tr>
      <w:tr w:rsidR="00AF1225" w14:paraId="122C2E88" w14:textId="77777777" w:rsidTr="006655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3BD8E1A7" w14:textId="77777777" w:rsidR="00AF1225" w:rsidRPr="00665531" w:rsidRDefault="00AF1225" w:rsidP="00665531">
            <w:pPr>
              <w:rPr>
                <w:b w:val="0"/>
                <w:sz w:val="24"/>
                <w:lang w:val="en-US"/>
              </w:rPr>
            </w:pPr>
            <w:r w:rsidRPr="00665531">
              <w:rPr>
                <w:b w:val="0"/>
                <w:sz w:val="24"/>
                <w:lang w:val="en-US"/>
              </w:rPr>
              <w:t>Sex, female, n (%)</w:t>
            </w:r>
          </w:p>
        </w:tc>
        <w:tc>
          <w:tcPr>
            <w:tcW w:w="2260" w:type="dxa"/>
            <w:vAlign w:val="center"/>
          </w:tcPr>
          <w:p w14:paraId="0A55A1C8" w14:textId="77777777" w:rsidR="00AF1225" w:rsidRPr="00665531" w:rsidRDefault="00AF1225" w:rsidP="00665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65531">
              <w:rPr>
                <w:sz w:val="24"/>
                <w:lang w:val="en-US"/>
              </w:rPr>
              <w:t>19 (</w:t>
            </w:r>
            <w:r w:rsidR="0074677D" w:rsidRPr="00665531">
              <w:rPr>
                <w:sz w:val="24"/>
                <w:lang w:val="en-US"/>
              </w:rPr>
              <w:t>76</w:t>
            </w:r>
            <w:r w:rsidRPr="00665531">
              <w:rPr>
                <w:sz w:val="24"/>
                <w:lang w:val="en-US"/>
              </w:rPr>
              <w:t>)</w:t>
            </w:r>
          </w:p>
        </w:tc>
      </w:tr>
      <w:tr w:rsidR="007B5FD8" w14:paraId="1DA927DE" w14:textId="77777777" w:rsidTr="00665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01C5B6" w14:textId="77777777" w:rsidR="007B5FD8" w:rsidRPr="00665531" w:rsidRDefault="007B5FD8" w:rsidP="00665531">
            <w:pPr>
              <w:rPr>
                <w:b w:val="0"/>
                <w:sz w:val="24"/>
                <w:lang w:val="en-US"/>
              </w:rPr>
            </w:pPr>
            <w:r w:rsidRPr="00665531">
              <w:rPr>
                <w:b w:val="0"/>
                <w:sz w:val="24"/>
                <w:lang w:val="en-US"/>
              </w:rPr>
              <w:t>Intellectual disability</w:t>
            </w:r>
            <w:r w:rsidR="0074677D" w:rsidRPr="00665531">
              <w:rPr>
                <w:b w:val="0"/>
                <w:sz w:val="24"/>
                <w:lang w:val="en-US"/>
              </w:rPr>
              <w:t>, n (%)</w:t>
            </w:r>
          </w:p>
        </w:tc>
        <w:tc>
          <w:tcPr>
            <w:tcW w:w="2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30ABAB3" w14:textId="77777777" w:rsidR="007B5FD8" w:rsidRPr="00665531" w:rsidRDefault="00540ACC" w:rsidP="00665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65531">
              <w:rPr>
                <w:sz w:val="24"/>
                <w:lang w:val="en-US"/>
              </w:rPr>
              <w:t>19</w:t>
            </w:r>
            <w:r w:rsidR="0074677D" w:rsidRPr="00665531">
              <w:rPr>
                <w:sz w:val="24"/>
                <w:lang w:val="en-US"/>
              </w:rPr>
              <w:t xml:space="preserve"> (76)</w:t>
            </w:r>
          </w:p>
        </w:tc>
      </w:tr>
      <w:tr w:rsidR="007B5FD8" w14:paraId="680EB7D6" w14:textId="77777777" w:rsidTr="006655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7D6B2405" w14:textId="77777777" w:rsidR="007B5FD8" w:rsidRPr="00665531" w:rsidRDefault="00540ACC" w:rsidP="00665531">
            <w:pPr>
              <w:rPr>
                <w:b w:val="0"/>
                <w:sz w:val="24"/>
                <w:lang w:val="en-US"/>
              </w:rPr>
            </w:pPr>
            <w:r w:rsidRPr="00665531">
              <w:rPr>
                <w:b w:val="0"/>
                <w:sz w:val="24"/>
                <w:lang w:val="en-US"/>
              </w:rPr>
              <w:t>E</w:t>
            </w:r>
            <w:r w:rsidR="007B5FD8" w:rsidRPr="00665531">
              <w:rPr>
                <w:b w:val="0"/>
                <w:sz w:val="24"/>
                <w:lang w:val="en-US"/>
              </w:rPr>
              <w:t>ncephalopathy</w:t>
            </w:r>
            <w:r w:rsidR="0074677D" w:rsidRPr="00665531">
              <w:rPr>
                <w:b w:val="0"/>
                <w:sz w:val="24"/>
                <w:lang w:val="en-US"/>
              </w:rPr>
              <w:t>, n (%)</w:t>
            </w:r>
          </w:p>
        </w:tc>
        <w:tc>
          <w:tcPr>
            <w:tcW w:w="2260" w:type="dxa"/>
            <w:vAlign w:val="center"/>
          </w:tcPr>
          <w:p w14:paraId="1251D2C0" w14:textId="77777777" w:rsidR="007B5FD8" w:rsidRPr="00665531" w:rsidRDefault="00540ACC" w:rsidP="00665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65531">
              <w:rPr>
                <w:sz w:val="24"/>
                <w:lang w:val="en-US"/>
              </w:rPr>
              <w:t>17</w:t>
            </w:r>
            <w:r w:rsidR="0074677D" w:rsidRPr="00665531">
              <w:rPr>
                <w:sz w:val="24"/>
                <w:lang w:val="en-US"/>
              </w:rPr>
              <w:t xml:space="preserve"> (68)</w:t>
            </w:r>
          </w:p>
        </w:tc>
      </w:tr>
      <w:tr w:rsidR="00540ACC" w14:paraId="127ABCEA" w14:textId="77777777" w:rsidTr="00665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7AF6D67" w14:textId="77777777" w:rsidR="00540ACC" w:rsidRPr="00665531" w:rsidRDefault="00540ACC" w:rsidP="00665531">
            <w:pPr>
              <w:rPr>
                <w:b w:val="0"/>
                <w:sz w:val="24"/>
                <w:lang w:val="en-US"/>
              </w:rPr>
            </w:pPr>
            <w:r w:rsidRPr="00665531">
              <w:rPr>
                <w:b w:val="0"/>
                <w:sz w:val="24"/>
                <w:lang w:val="en-US"/>
              </w:rPr>
              <w:t>Epilepsy</w:t>
            </w:r>
            <w:r w:rsidR="0074677D" w:rsidRPr="00665531">
              <w:rPr>
                <w:b w:val="0"/>
                <w:sz w:val="24"/>
                <w:lang w:val="en-US"/>
              </w:rPr>
              <w:t>, n (%)</w:t>
            </w:r>
          </w:p>
        </w:tc>
        <w:tc>
          <w:tcPr>
            <w:tcW w:w="2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04C808" w14:textId="77777777" w:rsidR="00540ACC" w:rsidRPr="00665531" w:rsidRDefault="00540ACC" w:rsidP="006655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65531">
              <w:rPr>
                <w:sz w:val="24"/>
                <w:lang w:val="en-US"/>
              </w:rPr>
              <w:t>18</w:t>
            </w:r>
            <w:r w:rsidR="0074677D" w:rsidRPr="00665531">
              <w:rPr>
                <w:sz w:val="24"/>
                <w:lang w:val="en-US"/>
              </w:rPr>
              <w:t xml:space="preserve"> (72)</w:t>
            </w:r>
          </w:p>
        </w:tc>
      </w:tr>
      <w:tr w:rsidR="007B5FD8" w14:paraId="64B3216E" w14:textId="77777777" w:rsidTr="006655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9AE26F7" w14:textId="77777777" w:rsidR="007B5FD8" w:rsidRPr="00665531" w:rsidRDefault="007B5FD8" w:rsidP="00665531">
            <w:pPr>
              <w:rPr>
                <w:b w:val="0"/>
                <w:sz w:val="24"/>
                <w:lang w:val="en-US"/>
              </w:rPr>
            </w:pPr>
            <w:r w:rsidRPr="00665531">
              <w:rPr>
                <w:b w:val="0"/>
                <w:sz w:val="24"/>
                <w:lang w:val="en-US"/>
              </w:rPr>
              <w:t>Autism</w:t>
            </w:r>
            <w:r w:rsidR="0074677D" w:rsidRPr="00665531">
              <w:rPr>
                <w:b w:val="0"/>
                <w:sz w:val="24"/>
                <w:lang w:val="en-US"/>
              </w:rPr>
              <w:t>, n (%)</w:t>
            </w:r>
          </w:p>
        </w:tc>
        <w:tc>
          <w:tcPr>
            <w:tcW w:w="2260" w:type="dxa"/>
            <w:vAlign w:val="center"/>
          </w:tcPr>
          <w:p w14:paraId="79198FEB" w14:textId="77777777" w:rsidR="007B5FD8" w:rsidRPr="00665531" w:rsidRDefault="00540ACC" w:rsidP="006655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65531">
              <w:rPr>
                <w:sz w:val="24"/>
                <w:lang w:val="en-US"/>
              </w:rPr>
              <w:t>3</w:t>
            </w:r>
            <w:r w:rsidR="0074677D" w:rsidRPr="00665531">
              <w:rPr>
                <w:sz w:val="24"/>
                <w:lang w:val="en-US"/>
              </w:rPr>
              <w:t xml:space="preserve"> (12)</w:t>
            </w:r>
          </w:p>
        </w:tc>
      </w:tr>
    </w:tbl>
    <w:p w14:paraId="47166AED" w14:textId="77777777" w:rsidR="00AF1225" w:rsidRPr="00D2188E" w:rsidRDefault="00AF1225">
      <w:pPr>
        <w:rPr>
          <w:lang w:val="en-US"/>
        </w:rPr>
      </w:pPr>
    </w:p>
    <w:p w14:paraId="1175F4B6" w14:textId="4BC9E06E" w:rsidR="000529BF" w:rsidRDefault="000529BF" w:rsidP="000529BF">
      <w:pPr>
        <w:pStyle w:val="Subttulo"/>
        <w:rPr>
          <w:lang w:val="en-US"/>
        </w:rPr>
      </w:pPr>
      <w:r>
        <w:rPr>
          <w:lang w:val="en-US"/>
        </w:rPr>
        <w:t>Metabolomics analysis</w:t>
      </w:r>
    </w:p>
    <w:p w14:paraId="5DB1E9FB" w14:textId="77777777" w:rsidR="00025766" w:rsidRDefault="00AF1225" w:rsidP="00174278">
      <w:pPr>
        <w:jc w:val="both"/>
        <w:rPr>
          <w:lang w:val="en-US"/>
        </w:rPr>
      </w:pPr>
      <w:r>
        <w:rPr>
          <w:lang w:val="en-US"/>
        </w:rPr>
        <w:t>Samples</w:t>
      </w:r>
      <w:r w:rsidR="00D2188E">
        <w:rPr>
          <w:lang w:val="en-US"/>
        </w:rPr>
        <w:t xml:space="preserve"> </w:t>
      </w:r>
      <w:proofErr w:type="gramStart"/>
      <w:r>
        <w:rPr>
          <w:lang w:val="en-US"/>
        </w:rPr>
        <w:t xml:space="preserve">were </w:t>
      </w:r>
      <w:r w:rsidR="00D2188E">
        <w:rPr>
          <w:lang w:val="en-US"/>
        </w:rPr>
        <w:t>sent</w:t>
      </w:r>
      <w:proofErr w:type="gramEnd"/>
      <w:r w:rsidR="00D2188E">
        <w:rPr>
          <w:lang w:val="en-US"/>
        </w:rPr>
        <w:t xml:space="preserve"> to</w:t>
      </w:r>
      <w:r>
        <w:rPr>
          <w:lang w:val="en-US"/>
        </w:rPr>
        <w:t xml:space="preserve"> the</w:t>
      </w:r>
      <w:r w:rsidR="00D2188E">
        <w:rPr>
          <w:lang w:val="en-US"/>
        </w:rPr>
        <w:t xml:space="preserve"> </w:t>
      </w:r>
      <w:r w:rsidR="00F662D9" w:rsidRPr="00F662D9">
        <w:rPr>
          <w:lang w:val="en-US"/>
        </w:rPr>
        <w:t xml:space="preserve">Centre for </w:t>
      </w:r>
      <w:proofErr w:type="spellStart"/>
      <w:r w:rsidR="00F662D9" w:rsidRPr="00F662D9">
        <w:rPr>
          <w:lang w:val="en-US"/>
        </w:rPr>
        <w:t>Omic</w:t>
      </w:r>
      <w:proofErr w:type="spellEnd"/>
      <w:r w:rsidR="00F662D9" w:rsidRPr="00F662D9">
        <w:rPr>
          <w:lang w:val="en-US"/>
        </w:rPr>
        <w:t xml:space="preserve"> Sciences (COS) Joint Unit of the </w:t>
      </w:r>
      <w:proofErr w:type="spellStart"/>
      <w:r w:rsidR="00F662D9" w:rsidRPr="00F662D9">
        <w:rPr>
          <w:lang w:val="en-US"/>
        </w:rPr>
        <w:t>Unive</w:t>
      </w:r>
      <w:r w:rsidR="00F662D9">
        <w:rPr>
          <w:lang w:val="en-US"/>
        </w:rPr>
        <w:t>rsitat</w:t>
      </w:r>
      <w:proofErr w:type="spellEnd"/>
      <w:r w:rsidR="00F662D9">
        <w:rPr>
          <w:lang w:val="en-US"/>
        </w:rPr>
        <w:t xml:space="preserve"> </w:t>
      </w:r>
      <w:proofErr w:type="spellStart"/>
      <w:r w:rsidR="00F662D9">
        <w:rPr>
          <w:lang w:val="en-US"/>
        </w:rPr>
        <w:t>Rovira</w:t>
      </w:r>
      <w:proofErr w:type="spellEnd"/>
      <w:r w:rsidR="00F662D9">
        <w:rPr>
          <w:lang w:val="en-US"/>
        </w:rPr>
        <w:t xml:space="preserve"> </w:t>
      </w:r>
      <w:proofErr w:type="spellStart"/>
      <w:r w:rsidR="00F662D9">
        <w:rPr>
          <w:lang w:val="en-US"/>
        </w:rPr>
        <w:t>i</w:t>
      </w:r>
      <w:proofErr w:type="spellEnd"/>
      <w:r w:rsidR="00F662D9">
        <w:rPr>
          <w:lang w:val="en-US"/>
        </w:rPr>
        <w:t xml:space="preserve"> </w:t>
      </w:r>
      <w:proofErr w:type="spellStart"/>
      <w:r w:rsidR="00F662D9">
        <w:rPr>
          <w:lang w:val="en-US"/>
        </w:rPr>
        <w:t>Virgili-Eurecat</w:t>
      </w:r>
      <w:proofErr w:type="spellEnd"/>
      <w:r w:rsidR="00D2188E">
        <w:rPr>
          <w:lang w:val="en-US"/>
        </w:rPr>
        <w:t xml:space="preserve">, </w:t>
      </w:r>
      <w:r>
        <w:rPr>
          <w:lang w:val="en-US"/>
        </w:rPr>
        <w:t xml:space="preserve">where a targeted metabolomics analysis was conducted by </w:t>
      </w:r>
      <w:r w:rsidR="004F4F50">
        <w:rPr>
          <w:lang w:val="en-US"/>
        </w:rPr>
        <w:t>liquid c</w:t>
      </w:r>
      <w:r w:rsidR="004F4F50" w:rsidRPr="004F4F50">
        <w:rPr>
          <w:lang w:val="en-US"/>
        </w:rPr>
        <w:t>hromatography with tandem mass spectrometry (LC-MS-MS)</w:t>
      </w:r>
      <w:r w:rsidR="004F4F50">
        <w:rPr>
          <w:lang w:val="en-US"/>
        </w:rPr>
        <w:t xml:space="preserve"> for tryptophan related </w:t>
      </w:r>
      <w:r w:rsidR="000529BF">
        <w:rPr>
          <w:lang w:val="en-US"/>
        </w:rPr>
        <w:t xml:space="preserve">metabolites and </w:t>
      </w:r>
      <w:proofErr w:type="spellStart"/>
      <w:r w:rsidR="000529BF">
        <w:rPr>
          <w:lang w:val="en-US"/>
        </w:rPr>
        <w:t>acylcarnitines</w:t>
      </w:r>
      <w:proofErr w:type="spellEnd"/>
      <w:r w:rsidR="000529BF">
        <w:rPr>
          <w:lang w:val="en-US"/>
        </w:rPr>
        <w:t>. G</w:t>
      </w:r>
      <w:r w:rsidR="004F4F50" w:rsidRPr="004F4F50">
        <w:rPr>
          <w:lang w:val="en-US"/>
        </w:rPr>
        <w:t>as chromatography–mass spectrometry (GC-MS)</w:t>
      </w:r>
      <w:r w:rsidR="000529BF">
        <w:rPr>
          <w:lang w:val="en-US"/>
        </w:rPr>
        <w:t xml:space="preserve"> was performed</w:t>
      </w:r>
      <w:r w:rsidR="004F4F50">
        <w:rPr>
          <w:lang w:val="en-US"/>
        </w:rPr>
        <w:t xml:space="preserve"> for </w:t>
      </w:r>
      <w:r w:rsidR="004F4F50" w:rsidRPr="004F4F50">
        <w:rPr>
          <w:lang w:val="en-US"/>
        </w:rPr>
        <w:t xml:space="preserve">organic acids and sugar </w:t>
      </w:r>
      <w:commentRangeStart w:id="0"/>
      <w:r w:rsidR="004F4F50" w:rsidRPr="004F4F50">
        <w:rPr>
          <w:lang w:val="en-US"/>
        </w:rPr>
        <w:t>metabolites</w:t>
      </w:r>
      <w:commentRangeEnd w:id="0"/>
      <w:r w:rsidR="000529BF">
        <w:rPr>
          <w:lang w:val="en-US"/>
        </w:rPr>
        <w:t xml:space="preserve"> related to energy metabolism and the TCA cycle</w:t>
      </w:r>
      <w:r w:rsidR="004B3862">
        <w:rPr>
          <w:rStyle w:val="Refdecomentario"/>
        </w:rPr>
        <w:commentReference w:id="0"/>
      </w:r>
      <w:r w:rsidR="004F4F50">
        <w:rPr>
          <w:lang w:val="en-US"/>
        </w:rPr>
        <w:t xml:space="preserve">. </w:t>
      </w:r>
      <w:proofErr w:type="gramStart"/>
      <w:r w:rsidR="004F4F50">
        <w:rPr>
          <w:lang w:val="en-US"/>
        </w:rPr>
        <w:t>A total of 82</w:t>
      </w:r>
      <w:proofErr w:type="gramEnd"/>
      <w:r w:rsidR="004F4F50">
        <w:rPr>
          <w:lang w:val="en-US"/>
        </w:rPr>
        <w:t xml:space="preserve"> metabolites were </w:t>
      </w:r>
      <w:r w:rsidR="00B75E0D">
        <w:rPr>
          <w:lang w:val="en-US"/>
        </w:rPr>
        <w:t>detected,</w:t>
      </w:r>
      <w:r w:rsidR="004F4F50">
        <w:rPr>
          <w:lang w:val="en-US"/>
        </w:rPr>
        <w:t xml:space="preserve"> and the results were presented as </w:t>
      </w:r>
      <w:proofErr w:type="spellStart"/>
      <w:r w:rsidR="004F4F50">
        <w:rPr>
          <w:lang w:val="en-US"/>
        </w:rPr>
        <w:t>micromolar</w:t>
      </w:r>
      <w:proofErr w:type="spellEnd"/>
      <w:r w:rsidR="004F4F50">
        <w:rPr>
          <w:lang w:val="en-US"/>
        </w:rPr>
        <w:t xml:space="preserve"> (</w:t>
      </w:r>
      <w:proofErr w:type="spellStart"/>
      <w:r w:rsidR="004F4F50">
        <w:rPr>
          <w:lang w:val="en-US"/>
        </w:rPr>
        <w:t>μM</w:t>
      </w:r>
      <w:proofErr w:type="spellEnd"/>
      <w:r w:rsidR="004F4F50">
        <w:rPr>
          <w:lang w:val="en-US"/>
        </w:rPr>
        <w:t>) concentrations.</w:t>
      </w:r>
      <w:r w:rsidR="00025766" w:rsidRPr="00025766">
        <w:rPr>
          <w:lang w:val="en-US"/>
        </w:rPr>
        <w:t xml:space="preserve"> </w:t>
      </w:r>
    </w:p>
    <w:p w14:paraId="39843E6D" w14:textId="77777777" w:rsidR="00025766" w:rsidRDefault="00025766" w:rsidP="00174278">
      <w:pPr>
        <w:pStyle w:val="Subttulo"/>
        <w:jc w:val="both"/>
        <w:rPr>
          <w:lang w:val="en-US"/>
        </w:rPr>
      </w:pPr>
      <w:r w:rsidRPr="00025766">
        <w:rPr>
          <w:lang w:val="en-US"/>
        </w:rPr>
        <w:t xml:space="preserve">LC-MS/MS methodology </w:t>
      </w:r>
    </w:p>
    <w:p w14:paraId="2463495F" w14:textId="77777777" w:rsidR="000E1EB2" w:rsidRDefault="00025766" w:rsidP="00174278">
      <w:pPr>
        <w:jc w:val="both"/>
        <w:rPr>
          <w:lang w:val="en-US"/>
        </w:rPr>
      </w:pPr>
      <w:r>
        <w:rPr>
          <w:lang w:val="en-US"/>
        </w:rPr>
        <w:t xml:space="preserve">CSF (50 </w:t>
      </w:r>
      <w:proofErr w:type="spellStart"/>
      <w:r>
        <w:rPr>
          <w:lang w:val="en-US"/>
        </w:rPr>
        <w:t>μL</w:t>
      </w:r>
      <w:proofErr w:type="spellEnd"/>
      <w:r>
        <w:rPr>
          <w:lang w:val="en-US"/>
        </w:rPr>
        <w:t xml:space="preserve">) samples were diluted in </w:t>
      </w:r>
      <w:r w:rsidRPr="001C267C">
        <w:rPr>
          <w:lang w:val="en-US"/>
        </w:rPr>
        <w:t xml:space="preserve">methanol </w:t>
      </w:r>
      <w:r>
        <w:rPr>
          <w:lang w:val="en-US"/>
        </w:rPr>
        <w:t xml:space="preserve">(200 </w:t>
      </w:r>
      <w:proofErr w:type="spellStart"/>
      <w:r>
        <w:rPr>
          <w:lang w:val="en-US"/>
        </w:rPr>
        <w:t>μL</w:t>
      </w:r>
      <w:proofErr w:type="spellEnd"/>
      <w:r>
        <w:rPr>
          <w:lang w:val="en-US"/>
        </w:rPr>
        <w:t xml:space="preserve">, </w:t>
      </w:r>
      <w:r w:rsidRPr="001C267C">
        <w:rPr>
          <w:lang w:val="en-US"/>
        </w:rPr>
        <w:t>100%</w:t>
      </w:r>
      <w:r>
        <w:rPr>
          <w:lang w:val="en-US"/>
        </w:rPr>
        <w:t xml:space="preserve">) </w:t>
      </w:r>
      <w:r w:rsidRPr="001C267C">
        <w:rPr>
          <w:lang w:val="en-US"/>
        </w:rPr>
        <w:t>and the set of labelled internal standards</w:t>
      </w:r>
      <w:r>
        <w:rPr>
          <w:lang w:val="en-US"/>
        </w:rPr>
        <w:t xml:space="preserve"> (</w:t>
      </w:r>
      <w:r w:rsidRPr="001C267C">
        <w:rPr>
          <w:highlight w:val="yellow"/>
          <w:lang w:val="en-US"/>
        </w:rPr>
        <w:t>Supplementary information</w:t>
      </w:r>
      <w:r>
        <w:rPr>
          <w:lang w:val="en-US"/>
        </w:rPr>
        <w:t>)</w:t>
      </w:r>
      <w:r w:rsidRPr="001C267C">
        <w:rPr>
          <w:lang w:val="en-US"/>
        </w:rPr>
        <w:t xml:space="preserve">. </w:t>
      </w:r>
      <w:r>
        <w:rPr>
          <w:lang w:val="en-US"/>
        </w:rPr>
        <w:t>Following centrifugation</w:t>
      </w:r>
      <w:r w:rsidRPr="001C267C">
        <w:rPr>
          <w:lang w:val="en-US"/>
        </w:rPr>
        <w:t xml:space="preserve"> </w:t>
      </w:r>
      <w:r>
        <w:rPr>
          <w:lang w:val="en-US"/>
        </w:rPr>
        <w:t>(10 min, 15000 rpm, 4º</w:t>
      </w:r>
      <w:r w:rsidRPr="001C267C">
        <w:rPr>
          <w:lang w:val="en-US"/>
        </w:rPr>
        <w:t>C</w:t>
      </w:r>
      <w:r>
        <w:rPr>
          <w:lang w:val="en-US"/>
        </w:rPr>
        <w:t>), t</w:t>
      </w:r>
      <w:r w:rsidRPr="001C267C">
        <w:rPr>
          <w:lang w:val="en-US"/>
        </w:rPr>
        <w:t xml:space="preserve">he supernatant was </w:t>
      </w:r>
      <w:r>
        <w:rPr>
          <w:lang w:val="en-US"/>
        </w:rPr>
        <w:t>dried</w:t>
      </w:r>
      <w:r w:rsidRPr="001C267C">
        <w:rPr>
          <w:lang w:val="en-US"/>
        </w:rPr>
        <w:t xml:space="preserve"> </w:t>
      </w:r>
      <w:r>
        <w:rPr>
          <w:lang w:val="en-US"/>
        </w:rPr>
        <w:t>in a</w:t>
      </w:r>
      <w:r w:rsidRPr="001C267C">
        <w:rPr>
          <w:lang w:val="en-US"/>
        </w:rPr>
        <w:t xml:space="preserve"> </w:t>
      </w:r>
      <w:proofErr w:type="spellStart"/>
      <w:r w:rsidRPr="001C267C">
        <w:rPr>
          <w:lang w:val="en-US"/>
        </w:rPr>
        <w:t>SpeedVac</w:t>
      </w:r>
      <w:proofErr w:type="spellEnd"/>
      <w:r w:rsidRPr="001C267C">
        <w:rPr>
          <w:lang w:val="en-US"/>
        </w:rPr>
        <w:t xml:space="preserve"> concentrator</w:t>
      </w:r>
      <w:r>
        <w:rPr>
          <w:lang w:val="en-US"/>
        </w:rPr>
        <w:t xml:space="preserve"> and</w:t>
      </w:r>
      <w:r w:rsidRPr="001C267C">
        <w:rPr>
          <w:lang w:val="en-US"/>
        </w:rPr>
        <w:t xml:space="preserve"> reconstituted </w:t>
      </w:r>
      <w:r>
        <w:rPr>
          <w:lang w:val="en-US"/>
        </w:rPr>
        <w:t xml:space="preserve">in </w:t>
      </w:r>
      <w:r w:rsidRPr="001C267C">
        <w:rPr>
          <w:lang w:val="en-US"/>
        </w:rPr>
        <w:t xml:space="preserve">methanol </w:t>
      </w:r>
      <w:r>
        <w:rPr>
          <w:lang w:val="en-US"/>
        </w:rPr>
        <w:t>(</w:t>
      </w:r>
      <w:r w:rsidRPr="001C267C">
        <w:rPr>
          <w:lang w:val="en-US"/>
        </w:rPr>
        <w:t xml:space="preserve">50 </w:t>
      </w:r>
      <w:proofErr w:type="spellStart"/>
      <w:r w:rsidRPr="001C267C">
        <w:rPr>
          <w:lang w:val="en-US"/>
        </w:rPr>
        <w:t>μL</w:t>
      </w:r>
      <w:proofErr w:type="spellEnd"/>
      <w:r>
        <w:rPr>
          <w:lang w:val="en-US"/>
        </w:rPr>
        <w:t>, 100%)</w:t>
      </w:r>
      <w:r w:rsidRPr="001C267C">
        <w:rPr>
          <w:lang w:val="en-US"/>
        </w:rPr>
        <w:t>.</w:t>
      </w:r>
      <w:r>
        <w:rPr>
          <w:lang w:val="en-US"/>
        </w:rPr>
        <w:t xml:space="preserve"> </w:t>
      </w:r>
    </w:p>
    <w:p w14:paraId="0E899676" w14:textId="5E6FFD53" w:rsidR="00025766" w:rsidRPr="00FB2B15" w:rsidRDefault="000E1EB2" w:rsidP="00174278">
      <w:pPr>
        <w:jc w:val="both"/>
        <w:rPr>
          <w:lang w:val="en-US"/>
        </w:rPr>
      </w:pPr>
      <w:r>
        <w:rPr>
          <w:lang w:val="en-US"/>
        </w:rPr>
        <w:t xml:space="preserve">The equipment </w:t>
      </w:r>
      <w:r w:rsidR="00FD1A63">
        <w:rPr>
          <w:lang w:val="en-US"/>
        </w:rPr>
        <w:t>consisted on</w:t>
      </w:r>
      <w:r>
        <w:rPr>
          <w:lang w:val="en-US"/>
        </w:rPr>
        <w:t xml:space="preserve"> an </w:t>
      </w:r>
      <w:r w:rsidRPr="000E1EB2">
        <w:rPr>
          <w:lang w:val="en-US"/>
        </w:rPr>
        <w:t xml:space="preserve">UHPLC 1290 Infinity II Series coupled to a </w:t>
      </w:r>
      <w:proofErr w:type="spellStart"/>
      <w:r w:rsidRPr="000E1EB2">
        <w:rPr>
          <w:lang w:val="en-US"/>
        </w:rPr>
        <w:t>QqQ</w:t>
      </w:r>
      <w:proofErr w:type="spellEnd"/>
      <w:r w:rsidRPr="000E1EB2">
        <w:rPr>
          <w:lang w:val="en-US"/>
        </w:rPr>
        <w:t xml:space="preserve">/MS 6490 Series (Agilent Technologies) </w:t>
      </w:r>
      <w:r w:rsidR="00FD1A63">
        <w:rPr>
          <w:lang w:val="en-US"/>
        </w:rPr>
        <w:t>and</w:t>
      </w:r>
      <w:r>
        <w:rPr>
          <w:lang w:val="en-US"/>
        </w:rPr>
        <w:t xml:space="preserve"> a </w:t>
      </w:r>
      <w:proofErr w:type="spellStart"/>
      <w:r w:rsidRPr="000E1EB2">
        <w:rPr>
          <w:lang w:val="en-US"/>
        </w:rPr>
        <w:t>Kinetex</w:t>
      </w:r>
      <w:proofErr w:type="spellEnd"/>
      <w:r w:rsidRPr="000E1EB2">
        <w:rPr>
          <w:lang w:val="en-US"/>
        </w:rPr>
        <w:t xml:space="preserve"> 2.6 </w:t>
      </w:r>
      <w:proofErr w:type="spellStart"/>
      <w:r w:rsidRPr="000E1EB2">
        <w:rPr>
          <w:lang w:val="en-US"/>
        </w:rPr>
        <w:t>μm</w:t>
      </w:r>
      <w:proofErr w:type="spellEnd"/>
      <w:r w:rsidRPr="000E1EB2">
        <w:rPr>
          <w:lang w:val="en-US"/>
        </w:rPr>
        <w:t xml:space="preserve"> Polar C18, 100 Å, 150 x 2.1 mm (</w:t>
      </w:r>
      <w:proofErr w:type="spellStart"/>
      <w:r w:rsidRPr="000E1EB2">
        <w:rPr>
          <w:lang w:val="en-US"/>
        </w:rPr>
        <w:t>Phenomenex</w:t>
      </w:r>
      <w:proofErr w:type="spellEnd"/>
      <w:r w:rsidRPr="000E1EB2">
        <w:rPr>
          <w:lang w:val="en-US"/>
        </w:rPr>
        <w:t>)</w:t>
      </w:r>
      <w:r>
        <w:rPr>
          <w:lang w:val="en-US"/>
        </w:rPr>
        <w:t xml:space="preserve"> analytical column</w:t>
      </w:r>
      <w:r w:rsidR="00FD1A63">
        <w:rPr>
          <w:lang w:val="en-US"/>
        </w:rPr>
        <w:t>.</w:t>
      </w:r>
      <w:r>
        <w:rPr>
          <w:lang w:val="en-US"/>
        </w:rPr>
        <w:t xml:space="preserve"> </w:t>
      </w:r>
      <w:r w:rsidR="00FD1A63">
        <w:rPr>
          <w:lang w:val="en-US"/>
        </w:rPr>
        <w:t>Chromatog</w:t>
      </w:r>
      <w:r w:rsidR="00FD1A63">
        <w:rPr>
          <w:lang w:val="en-US"/>
        </w:rPr>
        <w:t>raphic separation was performed</w:t>
      </w:r>
      <w:r w:rsidR="00342F89">
        <w:rPr>
          <w:lang w:val="en-US"/>
        </w:rPr>
        <w:t xml:space="preserve"> in mode </w:t>
      </w:r>
      <w:r w:rsidR="00342F89" w:rsidRPr="00342F89">
        <w:rPr>
          <w:lang w:val="en-US"/>
        </w:rPr>
        <w:t>negative electrospray ionization (ESI)</w:t>
      </w:r>
      <w:r w:rsidR="00FD1A63">
        <w:rPr>
          <w:lang w:val="en-US"/>
        </w:rPr>
        <w:t xml:space="preserve"> </w:t>
      </w:r>
      <w:r>
        <w:rPr>
          <w:lang w:val="en-US"/>
        </w:rPr>
        <w:t xml:space="preserve">at </w:t>
      </w:r>
      <w:r>
        <w:rPr>
          <w:lang w:val="en-US"/>
        </w:rPr>
        <w:t xml:space="preserve">20ºC with an injection volume of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proofErr w:type="spellStart"/>
      <w:r w:rsidRPr="007F6043">
        <w:rPr>
          <w:lang w:val="en-US"/>
        </w:rPr>
        <w:t>μL</w:t>
      </w:r>
      <w:proofErr w:type="spellEnd"/>
      <w:r>
        <w:rPr>
          <w:lang w:val="en-US"/>
        </w:rPr>
        <w:t>.</w:t>
      </w:r>
      <w:r w:rsidRPr="000E1EB2">
        <w:rPr>
          <w:lang w:val="en-US"/>
        </w:rPr>
        <w:t xml:space="preserve"> </w:t>
      </w:r>
      <w:r w:rsidR="00FD1A63">
        <w:rPr>
          <w:lang w:val="en-US"/>
        </w:rPr>
        <w:t>Mobile</w:t>
      </w:r>
      <w:r w:rsidR="007F6043">
        <w:rPr>
          <w:lang w:val="en-US"/>
        </w:rPr>
        <w:t xml:space="preserve"> phase A</w:t>
      </w:r>
      <w:r>
        <w:rPr>
          <w:lang w:val="en-US"/>
        </w:rPr>
        <w:t xml:space="preserve"> </w:t>
      </w:r>
      <w:r w:rsidR="00FD1A63">
        <w:rPr>
          <w:lang w:val="en-US"/>
        </w:rPr>
        <w:t>was</w:t>
      </w:r>
      <w:r w:rsidR="007F6043">
        <w:rPr>
          <w:lang w:val="en-US"/>
        </w:rPr>
        <w:t xml:space="preserve"> formic acid (0.1%) and</w:t>
      </w:r>
      <w:r w:rsidR="00226729">
        <w:rPr>
          <w:lang w:val="en-US"/>
        </w:rPr>
        <w:t xml:space="preserve"> </w:t>
      </w:r>
      <w:r>
        <w:rPr>
          <w:lang w:val="en-US"/>
        </w:rPr>
        <w:t>mobile phase</w:t>
      </w:r>
      <w:r w:rsidR="00FD1A63">
        <w:rPr>
          <w:lang w:val="en-US"/>
        </w:rPr>
        <w:t xml:space="preserve"> B was</w:t>
      </w:r>
      <w:r w:rsidR="007F6043">
        <w:rPr>
          <w:lang w:val="en-US"/>
        </w:rPr>
        <w:t xml:space="preserve"> </w:t>
      </w:r>
      <w:proofErr w:type="spellStart"/>
      <w:r w:rsidR="007F6043">
        <w:rPr>
          <w:lang w:val="en-US"/>
        </w:rPr>
        <w:t>methanol</w:t>
      </w:r>
      <w:proofErr w:type="gramStart"/>
      <w:r w:rsidR="007F6043">
        <w:rPr>
          <w:lang w:val="en-US"/>
        </w:rPr>
        <w:t>:formic</w:t>
      </w:r>
      <w:proofErr w:type="spellEnd"/>
      <w:proofErr w:type="gramEnd"/>
      <w:r w:rsidR="007F6043">
        <w:rPr>
          <w:lang w:val="en-US"/>
        </w:rPr>
        <w:t xml:space="preserve"> acid (10:1</w:t>
      </w:r>
      <w:r>
        <w:rPr>
          <w:lang w:val="en-US"/>
        </w:rPr>
        <w:t>, v/v</w:t>
      </w:r>
      <w:r w:rsidR="007F6043">
        <w:rPr>
          <w:lang w:val="en-US"/>
        </w:rPr>
        <w:t>).</w:t>
      </w:r>
      <w:r w:rsidR="00226729">
        <w:rPr>
          <w:lang w:val="en-US"/>
        </w:rPr>
        <w:t xml:space="preserve"> </w:t>
      </w:r>
    </w:p>
    <w:p w14:paraId="4210EA80" w14:textId="50236110" w:rsidR="00D2188E" w:rsidRDefault="00342F89" w:rsidP="000E1EB2">
      <w:pPr>
        <w:pStyle w:val="Subttulo"/>
        <w:rPr>
          <w:lang w:val="en-US"/>
        </w:rPr>
      </w:pPr>
      <w:r>
        <w:rPr>
          <w:lang w:val="en-US"/>
        </w:rPr>
        <w:t>GC-MS</w:t>
      </w:r>
      <w:r w:rsidR="000E1EB2" w:rsidRPr="000E1EB2">
        <w:rPr>
          <w:lang w:val="en-US"/>
        </w:rPr>
        <w:t xml:space="preserve"> methodology</w:t>
      </w:r>
    </w:p>
    <w:p w14:paraId="18BB97BA" w14:textId="4BE14618" w:rsidR="00FD1A63" w:rsidRDefault="00FD1A63" w:rsidP="00FD1A63">
      <w:pPr>
        <w:rPr>
          <w:lang w:val="en-US"/>
        </w:rPr>
      </w:pPr>
      <w:r>
        <w:rPr>
          <w:lang w:val="en-US"/>
        </w:rPr>
        <w:t xml:space="preserve">CSF (50 </w:t>
      </w:r>
      <w:proofErr w:type="spellStart"/>
      <w:r>
        <w:rPr>
          <w:lang w:val="en-US"/>
        </w:rPr>
        <w:t>μL</w:t>
      </w:r>
      <w:proofErr w:type="spellEnd"/>
      <w:r>
        <w:rPr>
          <w:lang w:val="en-US"/>
        </w:rPr>
        <w:t xml:space="preserve">) samples were diluted in </w:t>
      </w:r>
      <w:proofErr w:type="spellStart"/>
      <w:r>
        <w:rPr>
          <w:lang w:val="en-US"/>
        </w:rPr>
        <w:t>water</w:t>
      </w:r>
      <w:proofErr w:type="gramStart"/>
      <w:r>
        <w:rPr>
          <w:lang w:val="en-US"/>
        </w:rPr>
        <w:t>:</w:t>
      </w:r>
      <w:r w:rsidRPr="001C267C">
        <w:rPr>
          <w:lang w:val="en-US"/>
        </w:rPr>
        <w:t>methanol</w:t>
      </w:r>
      <w:proofErr w:type="spellEnd"/>
      <w:proofErr w:type="gramEnd"/>
      <w:r w:rsidRPr="001C267C">
        <w:rPr>
          <w:lang w:val="en-US"/>
        </w:rPr>
        <w:t xml:space="preserve"> </w:t>
      </w:r>
      <w:r>
        <w:rPr>
          <w:lang w:val="en-US"/>
        </w:rPr>
        <w:t xml:space="preserve">(200 </w:t>
      </w:r>
      <w:proofErr w:type="spellStart"/>
      <w:r>
        <w:rPr>
          <w:lang w:val="en-US"/>
        </w:rPr>
        <w:t>μL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8:2, v/v</w:t>
      </w:r>
      <w:r>
        <w:rPr>
          <w:lang w:val="en-US"/>
        </w:rPr>
        <w:t xml:space="preserve">) </w:t>
      </w:r>
      <w:r w:rsidRPr="001C267C">
        <w:rPr>
          <w:lang w:val="en-US"/>
        </w:rPr>
        <w:t>and the set of labelled internal standards</w:t>
      </w:r>
      <w:r>
        <w:rPr>
          <w:lang w:val="en-US"/>
        </w:rPr>
        <w:t xml:space="preserve"> (</w:t>
      </w:r>
      <w:r w:rsidRPr="001C267C">
        <w:rPr>
          <w:highlight w:val="yellow"/>
          <w:lang w:val="en-US"/>
        </w:rPr>
        <w:t>Supplementary information</w:t>
      </w:r>
      <w:r>
        <w:rPr>
          <w:lang w:val="en-US"/>
        </w:rPr>
        <w:t>)</w:t>
      </w:r>
      <w:r w:rsidRPr="001C267C">
        <w:rPr>
          <w:lang w:val="en-US"/>
        </w:rPr>
        <w:t xml:space="preserve">. </w:t>
      </w:r>
      <w:r>
        <w:rPr>
          <w:lang w:val="en-US"/>
        </w:rPr>
        <w:t>Following centrifugation</w:t>
      </w:r>
      <w:r w:rsidRPr="001C267C">
        <w:rPr>
          <w:lang w:val="en-US"/>
        </w:rPr>
        <w:t xml:space="preserve"> </w:t>
      </w:r>
      <w:r>
        <w:rPr>
          <w:lang w:val="en-US"/>
        </w:rPr>
        <w:t>(5</w:t>
      </w:r>
      <w:r>
        <w:rPr>
          <w:lang w:val="en-US"/>
        </w:rPr>
        <w:t xml:space="preserve"> min, 15000 rpm, 4º</w:t>
      </w:r>
      <w:r w:rsidRPr="001C267C">
        <w:rPr>
          <w:lang w:val="en-US"/>
        </w:rPr>
        <w:t>C</w:t>
      </w:r>
      <w:r>
        <w:rPr>
          <w:lang w:val="en-US"/>
        </w:rPr>
        <w:t>), t</w:t>
      </w:r>
      <w:r w:rsidRPr="001C267C">
        <w:rPr>
          <w:lang w:val="en-US"/>
        </w:rPr>
        <w:t>he supernatant</w:t>
      </w:r>
      <w:r>
        <w:rPr>
          <w:lang w:val="en-US"/>
        </w:rPr>
        <w:t>s were</w:t>
      </w:r>
      <w:r w:rsidRPr="001C267C">
        <w:rPr>
          <w:lang w:val="en-US"/>
        </w:rPr>
        <w:t xml:space="preserve"> </w:t>
      </w:r>
      <w:r>
        <w:rPr>
          <w:lang w:val="en-US"/>
        </w:rPr>
        <w:t>dried</w:t>
      </w:r>
      <w:r w:rsidRPr="001C267C">
        <w:rPr>
          <w:lang w:val="en-US"/>
        </w:rPr>
        <w:t xml:space="preserve"> </w:t>
      </w:r>
      <w:r>
        <w:rPr>
          <w:lang w:val="en-US"/>
        </w:rPr>
        <w:t>in a</w:t>
      </w:r>
      <w:r w:rsidRPr="001C267C">
        <w:rPr>
          <w:lang w:val="en-US"/>
        </w:rPr>
        <w:t xml:space="preserve"> </w:t>
      </w:r>
      <w:proofErr w:type="spellStart"/>
      <w:r w:rsidRPr="001C267C">
        <w:rPr>
          <w:lang w:val="en-US"/>
        </w:rPr>
        <w:t>SpeedVac</w:t>
      </w:r>
      <w:proofErr w:type="spellEnd"/>
      <w:r w:rsidRPr="001C267C">
        <w:rPr>
          <w:lang w:val="en-US"/>
        </w:rPr>
        <w:t xml:space="preserve"> concentrator</w:t>
      </w:r>
      <w:r>
        <w:rPr>
          <w:lang w:val="en-US"/>
        </w:rPr>
        <w:t xml:space="preserve"> </w:t>
      </w:r>
      <w:r>
        <w:rPr>
          <w:lang w:val="en-US"/>
        </w:rPr>
        <w:t xml:space="preserve">at 45ºC </w:t>
      </w:r>
      <w:r>
        <w:rPr>
          <w:lang w:val="en-US"/>
        </w:rPr>
        <w:t>and</w:t>
      </w:r>
      <w:r w:rsidRPr="001C267C">
        <w:rPr>
          <w:lang w:val="en-US"/>
        </w:rPr>
        <w:t xml:space="preserve"> reconstituted </w:t>
      </w:r>
      <w:r>
        <w:rPr>
          <w:lang w:val="en-US"/>
        </w:rPr>
        <w:t xml:space="preserve">in </w:t>
      </w:r>
      <w:proofErr w:type="spellStart"/>
      <w:r w:rsidRPr="00FD1A63">
        <w:rPr>
          <w:lang w:val="en-US"/>
        </w:rPr>
        <w:t>methoxyamine</w:t>
      </w:r>
      <w:proofErr w:type="spellEnd"/>
      <w:r w:rsidRPr="00FD1A63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3</w:t>
      </w:r>
      <w:r w:rsidRPr="001C267C">
        <w:rPr>
          <w:lang w:val="en-US"/>
        </w:rPr>
        <w:t xml:space="preserve">0 </w:t>
      </w:r>
      <w:proofErr w:type="spellStart"/>
      <w:r w:rsidRPr="001C267C">
        <w:rPr>
          <w:lang w:val="en-US"/>
        </w:rPr>
        <w:t>μL</w:t>
      </w:r>
      <w:proofErr w:type="spellEnd"/>
      <w:r>
        <w:rPr>
          <w:lang w:val="en-US"/>
        </w:rPr>
        <w:t>, 100%)</w:t>
      </w:r>
      <w:r w:rsidRPr="001C267C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 xml:space="preserve">Samples </w:t>
      </w:r>
      <w:proofErr w:type="gramStart"/>
      <w:r>
        <w:rPr>
          <w:lang w:val="en-US"/>
        </w:rPr>
        <w:t>were incubated</w:t>
      </w:r>
      <w:proofErr w:type="gramEnd"/>
      <w:r>
        <w:rPr>
          <w:lang w:val="en-US"/>
        </w:rPr>
        <w:t xml:space="preserve"> at 37ºC</w:t>
      </w:r>
      <w:r w:rsidR="00342F89">
        <w:rPr>
          <w:lang w:val="en-US"/>
        </w:rPr>
        <w:t xml:space="preserve"> </w:t>
      </w:r>
      <w:r w:rsidR="00342F89">
        <w:rPr>
          <w:lang w:val="en-US"/>
        </w:rPr>
        <w:t>for 90 min</w:t>
      </w:r>
      <w:r w:rsidR="00342F89">
        <w:rPr>
          <w:lang w:val="en-US"/>
        </w:rPr>
        <w:t xml:space="preserve">. and then </w:t>
      </w:r>
      <w:proofErr w:type="spellStart"/>
      <w:r w:rsidR="00342F89">
        <w:rPr>
          <w:lang w:val="en-US"/>
        </w:rPr>
        <w:t>silylated</w:t>
      </w:r>
      <w:proofErr w:type="spellEnd"/>
      <w:r w:rsidR="00342F89">
        <w:rPr>
          <w:lang w:val="en-US"/>
        </w:rPr>
        <w:t xml:space="preserve"> with 45 </w:t>
      </w:r>
      <w:proofErr w:type="spellStart"/>
      <w:r w:rsidR="00342F89">
        <w:rPr>
          <w:lang w:val="en-US"/>
        </w:rPr>
        <w:t>μL</w:t>
      </w:r>
      <w:proofErr w:type="spellEnd"/>
      <w:r w:rsidR="00342F89">
        <w:rPr>
          <w:lang w:val="en-US"/>
        </w:rPr>
        <w:t xml:space="preserve"> of MSTFA + 1 %</w:t>
      </w:r>
      <w:r w:rsidR="00342F89" w:rsidRPr="00342F89">
        <w:rPr>
          <w:lang w:val="en-US"/>
        </w:rPr>
        <w:t xml:space="preserve"> at room temperature </w:t>
      </w:r>
      <w:r w:rsidR="00342F89">
        <w:rPr>
          <w:lang w:val="en-US"/>
        </w:rPr>
        <w:t>for</w:t>
      </w:r>
      <w:r w:rsidR="00342F89" w:rsidRPr="00342F89">
        <w:rPr>
          <w:lang w:val="en-US"/>
        </w:rPr>
        <w:t xml:space="preserve"> 60 min</w:t>
      </w:r>
      <w:r w:rsidR="00342F89">
        <w:rPr>
          <w:lang w:val="en-US"/>
        </w:rPr>
        <w:t xml:space="preserve">. </w:t>
      </w:r>
    </w:p>
    <w:p w14:paraId="5F6B99CB" w14:textId="330D9A68" w:rsidR="000E1EB2" w:rsidRPr="000E1EB2" w:rsidRDefault="00342F89" w:rsidP="00174278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separation was performed on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Pr="00342F89">
        <w:rPr>
          <w:lang w:val="en-US"/>
        </w:rPr>
        <w:t xml:space="preserve">GC-QTOF 7200 </w:t>
      </w:r>
      <w:r w:rsidR="0058294E">
        <w:rPr>
          <w:lang w:val="en-US"/>
        </w:rPr>
        <w:t xml:space="preserve">and a </w:t>
      </w:r>
      <w:r w:rsidR="0058294E" w:rsidRPr="0058294E">
        <w:rPr>
          <w:lang w:val="en-US"/>
        </w:rPr>
        <w:t xml:space="preserve">HP5-MS UI capillary column (30 m x 250 </w:t>
      </w:r>
      <w:proofErr w:type="spellStart"/>
      <w:r w:rsidR="0058294E" w:rsidRPr="0058294E">
        <w:rPr>
          <w:lang w:val="en-US"/>
        </w:rPr>
        <w:t>μm</w:t>
      </w:r>
      <w:proofErr w:type="spellEnd"/>
      <w:r w:rsidR="0058294E" w:rsidRPr="0058294E">
        <w:rPr>
          <w:lang w:val="en-US"/>
        </w:rPr>
        <w:t xml:space="preserve"> I.D., 0.25 </w:t>
      </w:r>
      <w:proofErr w:type="spellStart"/>
      <w:r w:rsidR="0058294E" w:rsidRPr="0058294E">
        <w:rPr>
          <w:lang w:val="en-US"/>
        </w:rPr>
        <w:t>μm</w:t>
      </w:r>
      <w:proofErr w:type="spellEnd"/>
      <w:r w:rsidR="0058294E" w:rsidRPr="0058294E">
        <w:rPr>
          <w:lang w:val="en-US"/>
        </w:rPr>
        <w:t xml:space="preserve"> film thickness)</w:t>
      </w:r>
      <w:r w:rsidR="0058294E">
        <w:rPr>
          <w:lang w:val="en-US"/>
        </w:rPr>
        <w:t>, both from</w:t>
      </w:r>
      <w:r w:rsidR="0058294E" w:rsidRPr="0058294E">
        <w:rPr>
          <w:lang w:val="en-US"/>
        </w:rPr>
        <w:t xml:space="preserve"> Agilent Technologies.</w:t>
      </w:r>
      <w:r>
        <w:rPr>
          <w:lang w:val="en-US"/>
        </w:rPr>
        <w:t xml:space="preserve"> </w:t>
      </w:r>
      <w:r w:rsidR="0058294E">
        <w:rPr>
          <w:lang w:val="en-US"/>
        </w:rPr>
        <w:t xml:space="preserve">Helium (&gt;99.999%) was used as the carrier gas with a constant flow 1.1 mL/min. Initial oven temperature was set at 60ºC, then increased by 10ºC/min. to 320ºC and held constant for 10 min. Samples were injected in split mode 1:20 at injection temperature 250ºC. Compounds </w:t>
      </w:r>
      <w:proofErr w:type="gramStart"/>
      <w:r w:rsidR="0058294E">
        <w:rPr>
          <w:lang w:val="en-US"/>
        </w:rPr>
        <w:t>were detected</w:t>
      </w:r>
      <w:proofErr w:type="gramEnd"/>
      <w:r w:rsidR="0058294E">
        <w:rPr>
          <w:lang w:val="en-US"/>
        </w:rPr>
        <w:t xml:space="preserve"> through MS in electron ionization </w:t>
      </w:r>
      <w:r w:rsidR="0058294E" w:rsidRPr="0058294E">
        <w:rPr>
          <w:lang w:val="en-US"/>
        </w:rPr>
        <w:t>(70 eV)</w:t>
      </w:r>
      <w:r w:rsidR="0058294E">
        <w:rPr>
          <w:lang w:val="en-US"/>
        </w:rPr>
        <w:t xml:space="preserve"> </w:t>
      </w:r>
      <w:r w:rsidR="0058294E">
        <w:rPr>
          <w:lang w:val="en-US"/>
        </w:rPr>
        <w:t xml:space="preserve">and </w:t>
      </w:r>
      <w:r w:rsidR="0058294E" w:rsidRPr="0058294E">
        <w:rPr>
          <w:lang w:val="en-US"/>
        </w:rPr>
        <w:t xml:space="preserve">full-scan monitoring mode (m/z 50–600) </w:t>
      </w:r>
      <w:r w:rsidR="0058294E">
        <w:rPr>
          <w:lang w:val="en-US"/>
        </w:rPr>
        <w:t>mode</w:t>
      </w:r>
      <w:r w:rsidR="00924A47">
        <w:rPr>
          <w:lang w:val="en-US"/>
        </w:rPr>
        <w:t xml:space="preserve"> using the</w:t>
      </w:r>
      <w:r w:rsidR="00924A47" w:rsidRPr="00924A47">
        <w:rPr>
          <w:lang w:val="en-US"/>
        </w:rPr>
        <w:t xml:space="preserve"> spectra library Fiehn-pct-2013</w:t>
      </w:r>
      <w:r w:rsidR="0058294E">
        <w:rPr>
          <w:lang w:val="en-US"/>
        </w:rPr>
        <w:t xml:space="preserve">. </w:t>
      </w:r>
      <w:r w:rsidR="00924A47">
        <w:rPr>
          <w:lang w:val="en-US"/>
        </w:rPr>
        <w:t xml:space="preserve">Ion source temperature was </w:t>
      </w:r>
      <w:r w:rsidR="00924A47">
        <w:rPr>
          <w:lang w:val="en-US"/>
        </w:rPr>
        <w:t>250ºC</w:t>
      </w:r>
      <w:r w:rsidR="00924A47">
        <w:rPr>
          <w:lang w:val="en-US"/>
        </w:rPr>
        <w:t xml:space="preserve"> and quadrupole temperature was 200ºC. </w:t>
      </w:r>
      <w:r w:rsidR="0058294E">
        <w:rPr>
          <w:lang w:val="en-US"/>
        </w:rPr>
        <w:t xml:space="preserve">The acquisition rate was </w:t>
      </w:r>
      <w:proofErr w:type="gramStart"/>
      <w:r w:rsidR="0058294E">
        <w:rPr>
          <w:lang w:val="en-US"/>
        </w:rPr>
        <w:t>5</w:t>
      </w:r>
      <w:proofErr w:type="gramEnd"/>
      <w:r w:rsidR="0058294E">
        <w:rPr>
          <w:lang w:val="en-US"/>
        </w:rPr>
        <w:t xml:space="preserve"> spectra/s.  </w:t>
      </w:r>
    </w:p>
    <w:p w14:paraId="1E0119A0" w14:textId="77777777" w:rsidR="00D2188E" w:rsidRDefault="00D2188E" w:rsidP="00D2188E">
      <w:pPr>
        <w:pStyle w:val="Subttulo"/>
        <w:rPr>
          <w:lang w:val="en-US"/>
        </w:rPr>
      </w:pPr>
      <w:r>
        <w:rPr>
          <w:lang w:val="en-US"/>
        </w:rPr>
        <w:t>Statistical analysis</w:t>
      </w:r>
    </w:p>
    <w:p w14:paraId="2B40E2E5" w14:textId="77777777" w:rsidR="00E445C6" w:rsidRDefault="00E445C6" w:rsidP="00174278">
      <w:pPr>
        <w:jc w:val="both"/>
        <w:rPr>
          <w:lang w:val="en-US"/>
        </w:rPr>
      </w:pPr>
      <w:r>
        <w:rPr>
          <w:lang w:val="en-US"/>
        </w:rPr>
        <w:t xml:space="preserve">The goal of the analysis was to compare the metabolic profiles of patients to those of healthy controls. </w:t>
      </w:r>
      <w:r w:rsidRPr="00BF42C7">
        <w:rPr>
          <w:highlight w:val="yellow"/>
          <w:lang w:val="en-US"/>
        </w:rPr>
        <w:t>The diseases presented by t</w:t>
      </w:r>
      <w:r w:rsidR="00D06741" w:rsidRPr="00BF42C7">
        <w:rPr>
          <w:highlight w:val="yellow"/>
          <w:lang w:val="en-US"/>
        </w:rPr>
        <w:t xml:space="preserve">he patients </w:t>
      </w:r>
      <w:proofErr w:type="gramStart"/>
      <w:r w:rsidR="00D06741" w:rsidRPr="00BF42C7">
        <w:rPr>
          <w:highlight w:val="yellow"/>
          <w:lang w:val="en-US"/>
        </w:rPr>
        <w:t>were categorized</w:t>
      </w:r>
      <w:proofErr w:type="gramEnd"/>
      <w:r w:rsidR="00D06741" w:rsidRPr="00BF42C7">
        <w:rPr>
          <w:highlight w:val="yellow"/>
          <w:lang w:val="en-US"/>
        </w:rPr>
        <w:t xml:space="preserve"> based on their</w:t>
      </w:r>
      <w:r w:rsidR="00D06741">
        <w:rPr>
          <w:lang w:val="en-US"/>
        </w:rPr>
        <w:t xml:space="preserve"> </w:t>
      </w:r>
      <w:r w:rsidR="00BF42C7" w:rsidRPr="00BF42C7">
        <w:rPr>
          <w:highlight w:val="yellow"/>
          <w:lang w:val="en-US"/>
        </w:rPr>
        <w:t>glutamatergic component</w:t>
      </w:r>
      <w:r w:rsidR="00D06741">
        <w:rPr>
          <w:lang w:val="en-US"/>
        </w:rPr>
        <w:t>.</w:t>
      </w:r>
      <w:r w:rsidR="00D06741" w:rsidRPr="00D06741">
        <w:rPr>
          <w:lang w:val="en-US"/>
        </w:rPr>
        <w:t xml:space="preserve"> </w:t>
      </w:r>
      <w:r w:rsidR="00D06741">
        <w:rPr>
          <w:lang w:val="en-US"/>
        </w:rPr>
        <w:t xml:space="preserve">All statistical tests </w:t>
      </w:r>
      <w:proofErr w:type="gramStart"/>
      <w:r w:rsidR="00D06741">
        <w:rPr>
          <w:lang w:val="en-US"/>
        </w:rPr>
        <w:t>were conducted</w:t>
      </w:r>
      <w:proofErr w:type="gramEnd"/>
      <w:r w:rsidR="00D06741">
        <w:rPr>
          <w:lang w:val="en-US"/>
        </w:rPr>
        <w:t xml:space="preserve"> in </w:t>
      </w:r>
      <w:r w:rsidR="00D06741" w:rsidRPr="004D25A9">
        <w:rPr>
          <w:lang w:val="en-US"/>
        </w:rPr>
        <w:t>R version 4.3.0</w:t>
      </w:r>
      <w:r w:rsidR="00D06741">
        <w:rPr>
          <w:lang w:val="en-US"/>
        </w:rPr>
        <w:t>.</w:t>
      </w:r>
    </w:p>
    <w:p w14:paraId="734D47E0" w14:textId="6DBA5257" w:rsidR="00D2188E" w:rsidRPr="000627AA" w:rsidRDefault="00E97857" w:rsidP="00174278">
      <w:pPr>
        <w:jc w:val="both"/>
        <w:rPr>
          <w:vertAlign w:val="superscript"/>
          <w:lang w:val="en-US"/>
        </w:rPr>
      </w:pPr>
      <w:r>
        <w:rPr>
          <w:lang w:val="en-US"/>
        </w:rPr>
        <w:t xml:space="preserve">The metabolite concentrations were log2-transformed in order to account for the expected high variability and noise found in metabolomics data. </w:t>
      </w:r>
      <w:r w:rsidR="00C0296E">
        <w:rPr>
          <w:lang w:val="en-US"/>
        </w:rPr>
        <w:t>Multivariate stat</w:t>
      </w:r>
      <w:r>
        <w:rPr>
          <w:lang w:val="en-US"/>
        </w:rPr>
        <w:t xml:space="preserve">istical methods </w:t>
      </w:r>
      <w:proofErr w:type="gramStart"/>
      <w:r>
        <w:rPr>
          <w:lang w:val="en-US"/>
        </w:rPr>
        <w:t>were applied</w:t>
      </w:r>
      <w:proofErr w:type="gramEnd"/>
      <w:r>
        <w:rPr>
          <w:lang w:val="en-US"/>
        </w:rPr>
        <w:t xml:space="preserve"> on the transformed data in order to account for</w:t>
      </w:r>
      <w:r w:rsidR="00E249FA">
        <w:rPr>
          <w:lang w:val="en-US"/>
        </w:rPr>
        <w:t xml:space="preserve"> the small sample size and the</w:t>
      </w:r>
      <w:r>
        <w:rPr>
          <w:lang w:val="en-US"/>
        </w:rPr>
        <w:t xml:space="preserve"> </w:t>
      </w:r>
      <w:r w:rsidR="00E249FA">
        <w:rPr>
          <w:lang w:val="en-US"/>
        </w:rPr>
        <w:t xml:space="preserve">inherent </w:t>
      </w:r>
      <w:proofErr w:type="spellStart"/>
      <w:r w:rsidR="00E249FA" w:rsidRPr="00E249FA">
        <w:rPr>
          <w:lang w:val="en-US"/>
        </w:rPr>
        <w:t>multicollinearity</w:t>
      </w:r>
      <w:proofErr w:type="spellEnd"/>
      <w:r w:rsidR="00E249FA">
        <w:rPr>
          <w:lang w:val="en-US"/>
        </w:rPr>
        <w:t xml:space="preserve"> of the data</w:t>
      </w:r>
      <w:r>
        <w:rPr>
          <w:lang w:val="en-US"/>
        </w:rPr>
        <w:t>. Unsupervised p</w:t>
      </w:r>
      <w:r w:rsidR="00C0296E">
        <w:rPr>
          <w:lang w:val="en-US"/>
        </w:rPr>
        <w:t>rincipal component analysis (PCA)</w:t>
      </w:r>
      <w:r w:rsidR="000056B2">
        <w:rPr>
          <w:lang w:val="en-US"/>
        </w:rPr>
        <w:t xml:space="preserve"> was performed </w:t>
      </w:r>
      <w:r>
        <w:rPr>
          <w:lang w:val="en-US"/>
        </w:rPr>
        <w:t xml:space="preserve">in order to obtain an overall view of the variation between samples and their separation into clusters. </w:t>
      </w:r>
      <w:r w:rsidR="00C0296E">
        <w:rPr>
          <w:lang w:val="en-US"/>
        </w:rPr>
        <w:t>Ward hierarchical clustering</w:t>
      </w:r>
      <w:r w:rsidR="000056B2">
        <w:rPr>
          <w:lang w:val="en-US"/>
        </w:rPr>
        <w:t xml:space="preserve"> with Euclidian distance</w:t>
      </w:r>
      <w:r>
        <w:rPr>
          <w:lang w:val="en-US"/>
        </w:rPr>
        <w:t xml:space="preserve"> combined with a </w:t>
      </w:r>
      <w:proofErr w:type="spellStart"/>
      <w:r>
        <w:rPr>
          <w:lang w:val="en-US"/>
        </w:rPr>
        <w:t>heatmap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pheatmap</w:t>
      </w:r>
      <w:proofErr w:type="spellEnd"/>
      <w:r>
        <w:rPr>
          <w:lang w:val="en-US"/>
        </w:rPr>
        <w:t xml:space="preserve"> ver</w:t>
      </w:r>
      <w:r w:rsidR="007F6043">
        <w:rPr>
          <w:lang w:val="en-US"/>
        </w:rPr>
        <w:t>sion 1.0.12</w:t>
      </w:r>
      <w:r w:rsidR="00006ADA">
        <w:rPr>
          <w:lang w:val="en-US"/>
        </w:rPr>
        <w:t xml:space="preserve">) </w:t>
      </w:r>
      <w:proofErr w:type="gramStart"/>
      <w:r>
        <w:rPr>
          <w:lang w:val="en-US"/>
        </w:rPr>
        <w:t>was used</w:t>
      </w:r>
      <w:proofErr w:type="gramEnd"/>
      <w:r>
        <w:rPr>
          <w:lang w:val="en-US"/>
        </w:rPr>
        <w:t xml:space="preserve"> to compare </w:t>
      </w:r>
      <w:r w:rsidR="00006ADA">
        <w:rPr>
          <w:lang w:val="en-US"/>
        </w:rPr>
        <w:t>the log-transformed concentrations of all</w:t>
      </w:r>
      <w:r>
        <w:rPr>
          <w:lang w:val="en-US"/>
        </w:rPr>
        <w:t xml:space="preserve"> </w:t>
      </w:r>
      <w:r w:rsidR="00006ADA">
        <w:rPr>
          <w:lang w:val="en-US"/>
        </w:rPr>
        <w:t xml:space="preserve">the analyzed </w:t>
      </w:r>
      <w:r>
        <w:rPr>
          <w:lang w:val="en-US"/>
        </w:rPr>
        <w:t>metabolite</w:t>
      </w:r>
      <w:r w:rsidR="00006ADA">
        <w:rPr>
          <w:lang w:val="en-US"/>
        </w:rPr>
        <w:t>s</w:t>
      </w:r>
      <w:r>
        <w:rPr>
          <w:lang w:val="en-US"/>
        </w:rPr>
        <w:t xml:space="preserve"> in patients and controls</w:t>
      </w:r>
      <w:r w:rsidR="00C0296E">
        <w:rPr>
          <w:lang w:val="en-US"/>
        </w:rPr>
        <w:t>.</w:t>
      </w:r>
      <w:r w:rsidR="00006ADA">
        <w:rPr>
          <w:lang w:val="en-US"/>
        </w:rPr>
        <w:t xml:space="preserve"> </w:t>
      </w:r>
      <w:r w:rsidR="00C0296E">
        <w:rPr>
          <w:lang w:val="en-US"/>
        </w:rPr>
        <w:t>O</w:t>
      </w:r>
      <w:r w:rsidR="00C0296E" w:rsidRPr="00C0296E">
        <w:rPr>
          <w:lang w:val="en-US"/>
        </w:rPr>
        <w:t>rthogonal partial least-squares discriminant analysis (OPLS-DA)</w:t>
      </w:r>
      <w:r w:rsidR="00C0296E">
        <w:rPr>
          <w:lang w:val="en-US"/>
        </w:rPr>
        <w:t xml:space="preserve"> </w:t>
      </w:r>
      <w:r w:rsidR="00D06741">
        <w:rPr>
          <w:lang w:val="en-US"/>
        </w:rPr>
        <w:t xml:space="preserve">from the </w:t>
      </w:r>
      <w:proofErr w:type="spellStart"/>
      <w:r w:rsidR="00D06741">
        <w:rPr>
          <w:lang w:val="en-US"/>
        </w:rPr>
        <w:t>ropls</w:t>
      </w:r>
      <w:proofErr w:type="spellEnd"/>
      <w:r w:rsidR="004D25A9">
        <w:rPr>
          <w:lang w:val="en-US"/>
        </w:rPr>
        <w:t xml:space="preserve"> package (version 1.32.0) </w:t>
      </w:r>
      <w:proofErr w:type="gramStart"/>
      <w:r w:rsidR="00C0296E">
        <w:rPr>
          <w:lang w:val="en-US"/>
        </w:rPr>
        <w:t>was used</w:t>
      </w:r>
      <w:proofErr w:type="gramEnd"/>
      <w:r w:rsidR="00006ADA">
        <w:rPr>
          <w:lang w:val="en-US"/>
        </w:rPr>
        <w:t xml:space="preserve"> as a supervised model</w:t>
      </w:r>
      <w:r w:rsidR="00C0296E">
        <w:rPr>
          <w:lang w:val="en-US"/>
        </w:rPr>
        <w:t xml:space="preserve"> to identify metabolites responsible for group </w:t>
      </w:r>
      <w:r w:rsidR="00006ADA">
        <w:rPr>
          <w:lang w:val="en-US"/>
        </w:rPr>
        <w:t>separation</w:t>
      </w:r>
      <w:r w:rsidR="000753CA">
        <w:rPr>
          <w:lang w:val="en-US"/>
        </w:rPr>
        <w:t xml:space="preserve">. </w:t>
      </w:r>
      <w:r w:rsidR="002B4890">
        <w:rPr>
          <w:lang w:val="en-US"/>
        </w:rPr>
        <w:t xml:space="preserve">Models </w:t>
      </w:r>
      <w:proofErr w:type="gramStart"/>
      <w:r w:rsidR="002B4890">
        <w:rPr>
          <w:lang w:val="en-US"/>
        </w:rPr>
        <w:t>were evaluated</w:t>
      </w:r>
      <w:proofErr w:type="gramEnd"/>
      <w:r w:rsidR="002B4890">
        <w:rPr>
          <w:lang w:val="en-US"/>
        </w:rPr>
        <w:t xml:space="preserve"> by </w:t>
      </w:r>
      <w:r w:rsidR="002B4890" w:rsidRPr="000627AA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>goodness of fit (</w:t>
      </w:r>
      <w:r w:rsidR="002B4890" w:rsidRPr="000627A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R2Y</w:t>
      </w:r>
      <w:r w:rsidR="002B4890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>), goodness of predic</w:t>
      </w:r>
      <w:r w:rsidR="002B4890" w:rsidRPr="000627AA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>tion (</w:t>
      </w:r>
      <w:r w:rsidR="002B4890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Q</w:t>
      </w:r>
      <w:r w:rsidR="002B4890" w:rsidRPr="000627AA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2Y</w:t>
      </w:r>
      <w:r w:rsidR="002B4890" w:rsidRPr="000627AA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>)</w:t>
      </w:r>
      <w:r w:rsidR="002B4890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>, and</w:t>
      </w:r>
      <w:r w:rsidR="00FB2B15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r w:rsidR="00FB2B15" w:rsidRPr="00FB2B15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>root mean square error of estimation</w:t>
      </w:r>
      <w:r w:rsidR="002B4890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FB2B15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>(</w:t>
      </w:r>
      <w:r w:rsidR="002B4890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>RMSEE</w:t>
      </w:r>
      <w:r w:rsidR="00FB2B15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>)</w:t>
      </w:r>
      <w:r w:rsidR="002B4890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>.</w:t>
      </w:r>
      <w:r w:rsidR="002B4890" w:rsidRPr="000627AA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B4890">
        <w:rPr>
          <w:lang w:val="en-US"/>
        </w:rPr>
        <w:t xml:space="preserve">7-fold cross-validation </w:t>
      </w:r>
      <w:proofErr w:type="gramStart"/>
      <w:r w:rsidR="002B4890">
        <w:rPr>
          <w:lang w:val="en-US"/>
        </w:rPr>
        <w:t xml:space="preserve">was </w:t>
      </w:r>
      <w:r w:rsidR="00FB2B15">
        <w:rPr>
          <w:lang w:val="en-US"/>
        </w:rPr>
        <w:t>performed</w:t>
      </w:r>
      <w:proofErr w:type="gramEnd"/>
      <w:r w:rsidR="002B4890">
        <w:rPr>
          <w:lang w:val="en-US"/>
        </w:rPr>
        <w:t xml:space="preserve"> to mitigate </w:t>
      </w:r>
      <w:r w:rsidR="00FB2B15">
        <w:rPr>
          <w:lang w:val="en-US"/>
        </w:rPr>
        <w:t xml:space="preserve">the risk of </w:t>
      </w:r>
      <w:r w:rsidR="002B4890">
        <w:rPr>
          <w:lang w:val="en-US"/>
        </w:rPr>
        <w:t>overfitting</w:t>
      </w:r>
      <w:r w:rsidR="00FB2B15" w:rsidRPr="00FB2B15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FB2B15">
        <w:rPr>
          <w:rFonts w:ascii="Segoe UI" w:hAnsi="Segoe UI" w:cs="Segoe UI"/>
          <w:color w:val="212121"/>
          <w:sz w:val="21"/>
          <w:szCs w:val="21"/>
          <w:shd w:val="clear" w:color="auto" w:fill="FFFFFF"/>
          <w:lang w:val="en-US"/>
        </w:rPr>
        <w:t>caused by the high dimensionality of the data</w:t>
      </w:r>
      <w:r w:rsidR="00FB2B15">
        <w:rPr>
          <w:lang w:val="en-US"/>
        </w:rPr>
        <w:t>.</w:t>
      </w:r>
      <w:r w:rsidR="002B4890">
        <w:rPr>
          <w:lang w:val="en-US"/>
        </w:rPr>
        <w:t xml:space="preserve"> </w:t>
      </w:r>
      <w:r w:rsidR="000753CA">
        <w:rPr>
          <w:lang w:val="en-US"/>
        </w:rPr>
        <w:t xml:space="preserve">Metabolites were </w:t>
      </w:r>
      <w:r w:rsidR="00C0296E">
        <w:rPr>
          <w:lang w:val="en-US"/>
        </w:rPr>
        <w:t>sele</w:t>
      </w:r>
      <w:r w:rsidR="004D25A9">
        <w:rPr>
          <w:lang w:val="en-US"/>
        </w:rPr>
        <w:t>ct</w:t>
      </w:r>
      <w:r w:rsidR="000753CA">
        <w:rPr>
          <w:lang w:val="en-US"/>
        </w:rPr>
        <w:t xml:space="preserve">ed based on their </w:t>
      </w:r>
      <w:r w:rsidR="00220D2E">
        <w:rPr>
          <w:lang w:val="en-US"/>
        </w:rPr>
        <w:t xml:space="preserve">variable importance in </w:t>
      </w:r>
      <w:r w:rsidR="00C0296E" w:rsidRPr="00C0296E">
        <w:rPr>
          <w:lang w:val="en-US"/>
        </w:rPr>
        <w:t>projection (VIP)</w:t>
      </w:r>
      <w:r w:rsidR="00220D2E">
        <w:rPr>
          <w:lang w:val="en-US"/>
        </w:rPr>
        <w:t xml:space="preserve"> scores</w:t>
      </w:r>
      <w:r w:rsidR="003B0A08">
        <w:rPr>
          <w:lang w:val="en-US"/>
        </w:rPr>
        <w:t xml:space="preserve"> (</w:t>
      </w:r>
      <w:r w:rsidR="00006ADA">
        <w:rPr>
          <w:lang w:val="en-US"/>
        </w:rPr>
        <w:t>VIP &gt;</w:t>
      </w:r>
      <w:r w:rsidR="00C0296E">
        <w:rPr>
          <w:lang w:val="en-US"/>
        </w:rPr>
        <w:t xml:space="preserve"> 1</w:t>
      </w:r>
      <w:r w:rsidR="003B0A08">
        <w:rPr>
          <w:lang w:val="en-US"/>
        </w:rPr>
        <w:t>)</w:t>
      </w:r>
      <w:r w:rsidR="00583185">
        <w:rPr>
          <w:lang w:val="en-US"/>
        </w:rPr>
        <w:t>.</w:t>
      </w:r>
      <w:r w:rsidR="00006ADA">
        <w:rPr>
          <w:lang w:val="en-US"/>
        </w:rPr>
        <w:t xml:space="preserve"> </w:t>
      </w:r>
      <w:r w:rsidR="00FB2B15">
        <w:rPr>
          <w:lang w:val="en-US"/>
        </w:rPr>
        <w:t>Permutation testing (n=1000) was used to determine the statistical significance of the results (p&lt;0.05).</w:t>
      </w:r>
    </w:p>
    <w:p w14:paraId="76CB50A9" w14:textId="6F7CB397" w:rsidR="00583185" w:rsidRDefault="00FB2B15" w:rsidP="00174278">
      <w:pPr>
        <w:jc w:val="both"/>
        <w:rPr>
          <w:lang w:val="en-US"/>
        </w:rPr>
      </w:pPr>
      <w:r>
        <w:rPr>
          <w:lang w:val="en-US"/>
        </w:rPr>
        <w:t>The</w:t>
      </w:r>
      <w:r w:rsidR="00220D2E">
        <w:rPr>
          <w:lang w:val="en-US"/>
        </w:rPr>
        <w:t xml:space="preserve"> </w:t>
      </w:r>
      <w:r w:rsidR="005F7344">
        <w:rPr>
          <w:lang w:val="en-US"/>
        </w:rPr>
        <w:t xml:space="preserve">results of the classification models </w:t>
      </w:r>
      <w:proofErr w:type="gramStart"/>
      <w:r w:rsidR="005F7344">
        <w:rPr>
          <w:lang w:val="en-US"/>
        </w:rPr>
        <w:t>were corroborated</w:t>
      </w:r>
      <w:proofErr w:type="gramEnd"/>
      <w:r w:rsidR="005F7344">
        <w:rPr>
          <w:lang w:val="en-US"/>
        </w:rPr>
        <w:t xml:space="preserve"> by performing </w:t>
      </w:r>
      <w:r w:rsidR="00220D2E">
        <w:rPr>
          <w:lang w:val="en-US"/>
        </w:rPr>
        <w:t xml:space="preserve">Wilcoxon </w:t>
      </w:r>
      <w:r w:rsidR="00006ADA" w:rsidRPr="00006ADA">
        <w:rPr>
          <w:lang w:val="en-US"/>
        </w:rPr>
        <w:t>Mann–Whitney</w:t>
      </w:r>
      <w:r w:rsidR="00220D2E">
        <w:rPr>
          <w:lang w:val="en-US"/>
        </w:rPr>
        <w:t xml:space="preserve"> test</w:t>
      </w:r>
      <w:r w:rsidR="005F7344">
        <w:rPr>
          <w:lang w:val="en-US"/>
        </w:rPr>
        <w:t>s</w:t>
      </w:r>
      <w:r w:rsidRPr="00FB2B15">
        <w:rPr>
          <w:lang w:val="en-US"/>
        </w:rPr>
        <w:t xml:space="preserve"> </w:t>
      </w:r>
      <w:r w:rsidR="005F7344">
        <w:rPr>
          <w:lang w:val="en-US"/>
        </w:rPr>
        <w:t>comparing each metabolite concentration in patients and in controls.</w:t>
      </w:r>
      <w:r w:rsidR="00CD1A6E">
        <w:rPr>
          <w:lang w:val="en-US"/>
        </w:rPr>
        <w:t xml:space="preserve"> The non-parametric test </w:t>
      </w:r>
      <w:proofErr w:type="gramStart"/>
      <w:r w:rsidR="00CD1A6E">
        <w:rPr>
          <w:lang w:val="en-US"/>
        </w:rPr>
        <w:t>was chosen</w:t>
      </w:r>
      <w:proofErr w:type="gramEnd"/>
      <w:r w:rsidR="00CD1A6E">
        <w:rPr>
          <w:lang w:val="en-US"/>
        </w:rPr>
        <w:t xml:space="preserve"> due to the small number of samples.</w:t>
      </w:r>
      <w:r w:rsidR="005F7344">
        <w:rPr>
          <w:lang w:val="en-US"/>
        </w:rPr>
        <w:t xml:space="preserve"> Correction for the </w:t>
      </w:r>
      <w:r w:rsidR="004D25A9">
        <w:rPr>
          <w:lang w:val="en-US"/>
        </w:rPr>
        <w:t>false</w:t>
      </w:r>
      <w:r w:rsidR="00220D2E">
        <w:rPr>
          <w:lang w:val="en-US"/>
        </w:rPr>
        <w:t xml:space="preserve"> </w:t>
      </w:r>
      <w:r w:rsidR="004D25A9">
        <w:rPr>
          <w:lang w:val="en-US"/>
        </w:rPr>
        <w:t>discovery rate (FDR)</w:t>
      </w:r>
      <w:r w:rsidR="005F7344" w:rsidRPr="005F7344">
        <w:rPr>
          <w:lang w:val="en-US"/>
        </w:rPr>
        <w:t xml:space="preserve"> </w:t>
      </w:r>
      <w:r w:rsidR="005F7344">
        <w:rPr>
          <w:lang w:val="en-US"/>
        </w:rPr>
        <w:t>was applied in order to account for the issue of</w:t>
      </w:r>
      <w:r w:rsidR="004D25A9">
        <w:rPr>
          <w:lang w:val="en-US"/>
        </w:rPr>
        <w:t xml:space="preserve"> </w:t>
      </w:r>
      <w:r w:rsidR="005F7344">
        <w:rPr>
          <w:lang w:val="en-US"/>
        </w:rPr>
        <w:t>multiple testing (p&lt;0.05)</w:t>
      </w:r>
      <w:r w:rsidR="005663EF">
        <w:rPr>
          <w:lang w:val="en-US"/>
        </w:rPr>
        <w:t>.</w:t>
      </w:r>
      <w:r w:rsidR="00CD1A6E">
        <w:rPr>
          <w:lang w:val="en-US"/>
        </w:rPr>
        <w:t xml:space="preserve"> </w:t>
      </w:r>
    </w:p>
    <w:p w14:paraId="70E25FFF" w14:textId="1100668D" w:rsidR="00FE768D" w:rsidRPr="00507F98" w:rsidRDefault="005663EF" w:rsidP="00174278">
      <w:pPr>
        <w:jc w:val="both"/>
        <w:rPr>
          <w:u w:val="single"/>
          <w:lang w:val="en-US"/>
        </w:rPr>
      </w:pPr>
      <w:r>
        <w:rPr>
          <w:lang w:val="en-US"/>
        </w:rPr>
        <w:t>Pathway analysis was performed for m</w:t>
      </w:r>
      <w:r w:rsidR="00220D2E">
        <w:rPr>
          <w:lang w:val="en-US"/>
        </w:rPr>
        <w:t xml:space="preserve">etabolites </w:t>
      </w:r>
      <w:r>
        <w:rPr>
          <w:lang w:val="en-US"/>
        </w:rPr>
        <w:t>with</w:t>
      </w:r>
      <w:r w:rsidR="004D25A9">
        <w:rPr>
          <w:lang w:val="en-US"/>
        </w:rPr>
        <w:t xml:space="preserve"> p&lt;</w:t>
      </w:r>
      <w:r w:rsidR="00006ADA">
        <w:rPr>
          <w:lang w:val="en-US"/>
        </w:rPr>
        <w:t>0</w:t>
      </w:r>
      <w:r w:rsidR="00220D2E">
        <w:rPr>
          <w:lang w:val="en-US"/>
        </w:rPr>
        <w:t xml:space="preserve">.05 or VIP score &gt; 1 </w:t>
      </w:r>
      <w:r w:rsidR="004D25A9">
        <w:rPr>
          <w:lang w:val="en-US"/>
        </w:rPr>
        <w:t>using</w:t>
      </w:r>
      <w:r w:rsidR="00220D2E">
        <w:rPr>
          <w:lang w:val="en-US"/>
        </w:rPr>
        <w:t xml:space="preserve"> the</w:t>
      </w:r>
      <w:r w:rsidR="000753CA">
        <w:rPr>
          <w:lang w:val="en-US"/>
        </w:rPr>
        <w:t xml:space="preserve"> </w:t>
      </w:r>
      <w:r w:rsidR="000753CA" w:rsidRPr="004D25A9">
        <w:rPr>
          <w:lang w:val="en-US"/>
        </w:rPr>
        <w:t>Kyoto Encyclopedia of Genes and Genomes</w:t>
      </w:r>
      <w:r w:rsidR="000753CA">
        <w:rPr>
          <w:lang w:val="en-US"/>
        </w:rPr>
        <w:t xml:space="preserve"> (KEGG) database and the</w:t>
      </w:r>
      <w:r w:rsidR="00220D2E">
        <w:rPr>
          <w:lang w:val="en-US"/>
        </w:rPr>
        <w:t xml:space="preserve"> KEGGREST</w:t>
      </w:r>
      <w:r w:rsidR="000753CA">
        <w:rPr>
          <w:lang w:val="en-US"/>
        </w:rPr>
        <w:t xml:space="preserve"> </w:t>
      </w:r>
      <w:r w:rsidR="00D06741">
        <w:rPr>
          <w:lang w:val="en-US"/>
        </w:rPr>
        <w:t xml:space="preserve">package </w:t>
      </w:r>
      <w:r w:rsidR="000753CA">
        <w:rPr>
          <w:lang w:val="en-US"/>
        </w:rPr>
        <w:t>(</w:t>
      </w:r>
      <w:r w:rsidR="00560FE7">
        <w:rPr>
          <w:lang w:val="en-US"/>
        </w:rPr>
        <w:t xml:space="preserve">version </w:t>
      </w:r>
      <w:r w:rsidR="000753CA">
        <w:rPr>
          <w:lang w:val="en-US"/>
        </w:rPr>
        <w:t>1.40.0)</w:t>
      </w:r>
      <w:r w:rsidR="00220D2E">
        <w:rPr>
          <w:lang w:val="en-US"/>
        </w:rPr>
        <w:t xml:space="preserve">. </w:t>
      </w:r>
      <w:r w:rsidR="006B0B3E">
        <w:rPr>
          <w:lang w:val="en-US"/>
        </w:rPr>
        <w:t xml:space="preserve">Pathways </w:t>
      </w:r>
      <w:proofErr w:type="gramStart"/>
      <w:r w:rsidR="006B0B3E">
        <w:rPr>
          <w:lang w:val="en-US"/>
        </w:rPr>
        <w:t xml:space="preserve">were </w:t>
      </w:r>
      <w:r>
        <w:rPr>
          <w:lang w:val="en-US"/>
        </w:rPr>
        <w:t>identified</w:t>
      </w:r>
      <w:proofErr w:type="gramEnd"/>
      <w:r>
        <w:rPr>
          <w:lang w:val="en-US"/>
        </w:rPr>
        <w:t xml:space="preserve"> as important</w:t>
      </w:r>
      <w:r w:rsidR="00DB5038">
        <w:rPr>
          <w:lang w:val="en-US"/>
        </w:rPr>
        <w:t xml:space="preserve"> when two</w:t>
      </w:r>
      <w:r w:rsidR="006B0B3E">
        <w:rPr>
          <w:lang w:val="en-US"/>
        </w:rPr>
        <w:t xml:space="preserve"> or more</w:t>
      </w:r>
      <w:r w:rsidR="00DB5038">
        <w:rPr>
          <w:lang w:val="en-US"/>
        </w:rPr>
        <w:t xml:space="preserve"> of their</w:t>
      </w:r>
      <w:r w:rsidR="006B0B3E">
        <w:rPr>
          <w:lang w:val="en-US"/>
        </w:rPr>
        <w:t xml:space="preserve"> metabolite components were found to be altered between the disease </w:t>
      </w:r>
      <w:r>
        <w:rPr>
          <w:lang w:val="en-US"/>
        </w:rPr>
        <w:t>groups and the healthy controls</w:t>
      </w:r>
      <w:r w:rsidR="004B3862">
        <w:rPr>
          <w:lang w:val="en-US"/>
        </w:rPr>
        <w:t xml:space="preserve">. </w:t>
      </w:r>
      <w:r>
        <w:rPr>
          <w:lang w:val="en-US"/>
        </w:rPr>
        <w:t xml:space="preserve">The results </w:t>
      </w:r>
      <w:proofErr w:type="gramStart"/>
      <w:r>
        <w:rPr>
          <w:lang w:val="en-US"/>
        </w:rPr>
        <w:t>were plotted</w:t>
      </w:r>
      <w:proofErr w:type="gramEnd"/>
      <w:r>
        <w:rPr>
          <w:lang w:val="en-US"/>
        </w:rPr>
        <w:t xml:space="preserve"> after excluding pathways that are ubiquitous or unrelated to synaptic metabolism. </w:t>
      </w:r>
      <w:r w:rsidR="00FE768D">
        <w:rPr>
          <w:lang w:val="en-US"/>
        </w:rPr>
        <w:t xml:space="preserve">Special attention </w:t>
      </w:r>
      <w:proofErr w:type="gramStart"/>
      <w:r w:rsidR="00FE768D">
        <w:rPr>
          <w:lang w:val="en-US"/>
        </w:rPr>
        <w:t>was given</w:t>
      </w:r>
      <w:proofErr w:type="gramEnd"/>
      <w:r w:rsidR="00FE768D">
        <w:rPr>
          <w:lang w:val="en-US"/>
        </w:rPr>
        <w:t xml:space="preserve"> to t</w:t>
      </w:r>
      <w:r w:rsidR="004B3862">
        <w:rPr>
          <w:lang w:val="en-US"/>
        </w:rPr>
        <w:t xml:space="preserve">he tryptophan metabolism pathway, as well as to the amino acid substrates of the ABC </w:t>
      </w:r>
      <w:commentRangeStart w:id="1"/>
      <w:r w:rsidR="004B3862">
        <w:rPr>
          <w:lang w:val="en-US"/>
        </w:rPr>
        <w:t>transporters</w:t>
      </w:r>
      <w:commentRangeEnd w:id="1"/>
      <w:r w:rsidR="004B3862">
        <w:rPr>
          <w:rStyle w:val="Refdecomentario"/>
        </w:rPr>
        <w:commentReference w:id="1"/>
      </w:r>
      <w:r w:rsidR="004B3862">
        <w:rPr>
          <w:lang w:val="en-US"/>
        </w:rPr>
        <w:t>.</w:t>
      </w:r>
    </w:p>
    <w:p w14:paraId="3789BC8A" w14:textId="1DB5642C" w:rsidR="001D1E06" w:rsidRDefault="00924A47">
      <w:pPr>
        <w:rPr>
          <w:lang w:val="en-US"/>
        </w:rPr>
      </w:pPr>
      <w:r w:rsidRPr="00924A47">
        <w:rPr>
          <w:highlight w:val="yellow"/>
          <w:lang w:val="en-US"/>
        </w:rPr>
        <w:t>LO PIDEN LOS DE EURECAT</w:t>
      </w:r>
    </w:p>
    <w:p w14:paraId="5329FA73" w14:textId="0279983F" w:rsidR="00924A47" w:rsidRPr="00924A47" w:rsidRDefault="00924A47" w:rsidP="00924A47">
      <w:pPr>
        <w:pStyle w:val="Subttulo"/>
        <w:rPr>
          <w:highlight w:val="yellow"/>
          <w:lang w:val="en-US"/>
        </w:rPr>
      </w:pPr>
      <w:r w:rsidRPr="00924A47">
        <w:rPr>
          <w:highlight w:val="yellow"/>
          <w:lang w:val="en-US"/>
        </w:rPr>
        <w:t>Acknowledgements</w:t>
      </w:r>
    </w:p>
    <w:p w14:paraId="222B3BBA" w14:textId="77777777" w:rsidR="00174278" w:rsidRDefault="00924A47" w:rsidP="00924A47">
      <w:pPr>
        <w:rPr>
          <w:highlight w:val="yellow"/>
          <w:lang w:val="en-US"/>
        </w:rPr>
      </w:pPr>
      <w:r w:rsidRPr="00924A47">
        <w:rPr>
          <w:highlight w:val="yellow"/>
          <w:lang w:val="en-US"/>
        </w:rPr>
        <w:t xml:space="preserve">We thank </w:t>
      </w:r>
      <w:proofErr w:type="spellStart"/>
      <w:r w:rsidRPr="00924A47">
        <w:rPr>
          <w:highlight w:val="yellow"/>
          <w:lang w:val="en-US"/>
        </w:rPr>
        <w:t>Núria</w:t>
      </w:r>
      <w:proofErr w:type="spellEnd"/>
      <w:r w:rsidRPr="00924A47">
        <w:rPr>
          <w:highlight w:val="yellow"/>
          <w:lang w:val="en-US"/>
        </w:rPr>
        <w:t xml:space="preserve"> </w:t>
      </w:r>
      <w:proofErr w:type="spellStart"/>
      <w:r w:rsidRPr="00924A47">
        <w:rPr>
          <w:highlight w:val="yellow"/>
          <w:lang w:val="en-US"/>
        </w:rPr>
        <w:t>Canela</w:t>
      </w:r>
      <w:proofErr w:type="spellEnd"/>
      <w:r w:rsidRPr="00924A47">
        <w:rPr>
          <w:highlight w:val="yellow"/>
          <w:lang w:val="en-US"/>
        </w:rPr>
        <w:t xml:space="preserve">, Antoni </w:t>
      </w:r>
      <w:proofErr w:type="gramStart"/>
      <w:r w:rsidRPr="00924A47">
        <w:rPr>
          <w:highlight w:val="yellow"/>
          <w:lang w:val="en-US"/>
        </w:rPr>
        <w:t>del</w:t>
      </w:r>
      <w:proofErr w:type="gramEnd"/>
      <w:r w:rsidRPr="00924A47">
        <w:rPr>
          <w:highlight w:val="yellow"/>
          <w:lang w:val="en-US"/>
        </w:rPr>
        <w:t xml:space="preserve"> </w:t>
      </w:r>
      <w:proofErr w:type="spellStart"/>
      <w:r w:rsidRPr="00924A47">
        <w:rPr>
          <w:highlight w:val="yellow"/>
          <w:lang w:val="en-US"/>
        </w:rPr>
        <w:t>Pino</w:t>
      </w:r>
      <w:proofErr w:type="spellEnd"/>
      <w:r w:rsidRPr="00924A47">
        <w:rPr>
          <w:highlight w:val="yellow"/>
          <w:lang w:val="en-US"/>
        </w:rPr>
        <w:t xml:space="preserve"> </w:t>
      </w:r>
      <w:proofErr w:type="spellStart"/>
      <w:r w:rsidRPr="00924A47">
        <w:rPr>
          <w:highlight w:val="yellow"/>
          <w:lang w:val="en-US"/>
        </w:rPr>
        <w:t>Rius</w:t>
      </w:r>
      <w:proofErr w:type="spellEnd"/>
      <w:r w:rsidRPr="00924A47">
        <w:rPr>
          <w:highlight w:val="yellow"/>
          <w:lang w:val="en-US"/>
        </w:rPr>
        <w:t xml:space="preserve">, </w:t>
      </w:r>
      <w:proofErr w:type="spellStart"/>
      <w:r w:rsidRPr="00924A47">
        <w:rPr>
          <w:highlight w:val="yellow"/>
          <w:lang w:val="en-US"/>
        </w:rPr>
        <w:t>Elisabet</w:t>
      </w:r>
      <w:proofErr w:type="spellEnd"/>
      <w:r w:rsidRPr="00924A47">
        <w:rPr>
          <w:highlight w:val="yellow"/>
          <w:lang w:val="en-US"/>
        </w:rPr>
        <w:t xml:space="preserve"> </w:t>
      </w:r>
      <w:proofErr w:type="spellStart"/>
      <w:r w:rsidRPr="00924A47">
        <w:rPr>
          <w:highlight w:val="yellow"/>
          <w:lang w:val="en-US"/>
        </w:rPr>
        <w:t>Foguet</w:t>
      </w:r>
      <w:proofErr w:type="spellEnd"/>
      <w:r w:rsidRPr="00924A47">
        <w:rPr>
          <w:highlight w:val="yellow"/>
          <w:lang w:val="en-US"/>
        </w:rPr>
        <w:t xml:space="preserve">, Salvador </w:t>
      </w:r>
      <w:proofErr w:type="spellStart"/>
      <w:r w:rsidRPr="00924A47">
        <w:rPr>
          <w:highlight w:val="yellow"/>
          <w:lang w:val="en-US"/>
        </w:rPr>
        <w:t>Fernández</w:t>
      </w:r>
      <w:proofErr w:type="spellEnd"/>
      <w:r w:rsidRPr="00924A47">
        <w:rPr>
          <w:highlight w:val="yellow"/>
          <w:lang w:val="en-US"/>
        </w:rPr>
        <w:t xml:space="preserve"> Arroyo, and Iris Samar</w:t>
      </w:r>
    </w:p>
    <w:p w14:paraId="0DD24B48" w14:textId="4029E461" w:rsidR="00924A47" w:rsidRPr="00924A47" w:rsidRDefault="00924A47" w:rsidP="00924A47">
      <w:pPr>
        <w:rPr>
          <w:lang w:val="en-US"/>
        </w:rPr>
      </w:pPr>
      <w:bookmarkStart w:id="2" w:name="_GoBack"/>
      <w:bookmarkEnd w:id="2"/>
      <w:r w:rsidRPr="00924A47">
        <w:rPr>
          <w:highlight w:val="yellow"/>
          <w:lang w:val="en-US"/>
        </w:rPr>
        <w:lastRenderedPageBreak/>
        <w:t xml:space="preserve">ra </w:t>
      </w:r>
      <w:proofErr w:type="spellStart"/>
      <w:r w:rsidRPr="00924A47">
        <w:rPr>
          <w:highlight w:val="yellow"/>
          <w:lang w:val="en-US"/>
        </w:rPr>
        <w:t>Mestre</w:t>
      </w:r>
      <w:proofErr w:type="spellEnd"/>
      <w:r w:rsidRPr="00924A47">
        <w:rPr>
          <w:highlight w:val="yellow"/>
          <w:lang w:val="en-US"/>
        </w:rPr>
        <w:t xml:space="preserve"> from the Metabolomics facility of the Centre for </w:t>
      </w:r>
      <w:proofErr w:type="spellStart"/>
      <w:r w:rsidRPr="00924A47">
        <w:rPr>
          <w:highlight w:val="yellow"/>
          <w:lang w:val="en-US"/>
        </w:rPr>
        <w:t>Omic</w:t>
      </w:r>
      <w:proofErr w:type="spellEnd"/>
      <w:r w:rsidRPr="00924A47">
        <w:rPr>
          <w:highlight w:val="yellow"/>
          <w:lang w:val="en-US"/>
        </w:rPr>
        <w:t xml:space="preserve"> Sciences (COS) Joint Unit of the </w:t>
      </w:r>
      <w:proofErr w:type="spellStart"/>
      <w:r w:rsidRPr="00924A47">
        <w:rPr>
          <w:highlight w:val="yellow"/>
          <w:lang w:val="en-US"/>
        </w:rPr>
        <w:t>Universitat</w:t>
      </w:r>
      <w:proofErr w:type="spellEnd"/>
      <w:r w:rsidRPr="00924A47">
        <w:rPr>
          <w:highlight w:val="yellow"/>
          <w:lang w:val="en-US"/>
        </w:rPr>
        <w:t xml:space="preserve"> </w:t>
      </w:r>
      <w:proofErr w:type="spellStart"/>
      <w:r w:rsidRPr="00924A47">
        <w:rPr>
          <w:highlight w:val="yellow"/>
          <w:lang w:val="en-US"/>
        </w:rPr>
        <w:t>Rovira</w:t>
      </w:r>
      <w:proofErr w:type="spellEnd"/>
      <w:r w:rsidRPr="00924A47">
        <w:rPr>
          <w:highlight w:val="yellow"/>
          <w:lang w:val="en-US"/>
        </w:rPr>
        <w:t xml:space="preserve"> </w:t>
      </w:r>
      <w:proofErr w:type="spellStart"/>
      <w:r w:rsidRPr="00924A47">
        <w:rPr>
          <w:highlight w:val="yellow"/>
          <w:lang w:val="en-US"/>
        </w:rPr>
        <w:t>i</w:t>
      </w:r>
      <w:proofErr w:type="spellEnd"/>
      <w:r w:rsidRPr="00924A47">
        <w:rPr>
          <w:highlight w:val="yellow"/>
          <w:lang w:val="en-US"/>
        </w:rPr>
        <w:t xml:space="preserve"> </w:t>
      </w:r>
      <w:proofErr w:type="spellStart"/>
      <w:r w:rsidRPr="00924A47">
        <w:rPr>
          <w:highlight w:val="yellow"/>
          <w:lang w:val="en-US"/>
        </w:rPr>
        <w:t>Virgili-Eurecat</w:t>
      </w:r>
      <w:proofErr w:type="spellEnd"/>
      <w:r w:rsidRPr="00924A47">
        <w:rPr>
          <w:highlight w:val="yellow"/>
          <w:lang w:val="en-US"/>
        </w:rPr>
        <w:t>, for their contribution to mass spectrometry analysis.</w:t>
      </w:r>
    </w:p>
    <w:p w14:paraId="317B77A5" w14:textId="77777777" w:rsidR="00924A47" w:rsidRPr="00D2188E" w:rsidRDefault="00924A47">
      <w:pPr>
        <w:rPr>
          <w:lang w:val="en-US"/>
        </w:rPr>
      </w:pPr>
    </w:p>
    <w:sectPr w:rsidR="00924A47" w:rsidRPr="00D21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tia Sofia Illescas Brol" w:date="2023-06-22T11:02:00Z" w:initials="KSIB">
    <w:p w14:paraId="2A4485FE" w14:textId="77777777" w:rsidR="004B3862" w:rsidRDefault="004B3862">
      <w:pPr>
        <w:pStyle w:val="Textocomentario"/>
      </w:pPr>
      <w:r>
        <w:rPr>
          <w:rStyle w:val="Refdecomentario"/>
        </w:rPr>
        <w:annotationRef/>
      </w:r>
      <w:proofErr w:type="spellStart"/>
      <w:r>
        <w:t>Deberia</w:t>
      </w:r>
      <w:proofErr w:type="spellEnd"/>
      <w:r>
        <w:t xml:space="preserve"> explicar </w:t>
      </w:r>
      <w:proofErr w:type="spellStart"/>
      <w:r>
        <w:t>por que</w:t>
      </w:r>
      <w:proofErr w:type="spellEnd"/>
      <w:r>
        <w:t xml:space="preserve"> analizamos </w:t>
      </w:r>
      <w:proofErr w:type="spellStart"/>
      <w:r>
        <w:t>matabolitos</w:t>
      </w:r>
      <w:proofErr w:type="spellEnd"/>
      <w:r>
        <w:t xml:space="preserve"> del triptófano? </w:t>
      </w:r>
      <w:proofErr w:type="gramStart"/>
      <w:r>
        <w:t xml:space="preserve">No </w:t>
      </w:r>
      <w:proofErr w:type="spellStart"/>
      <w:r>
        <w:t>se</w:t>
      </w:r>
      <w:proofErr w:type="spellEnd"/>
      <w:r>
        <w:t xml:space="preserve"> si eso puede ir en métodos??</w:t>
      </w:r>
      <w:proofErr w:type="gramEnd"/>
    </w:p>
  </w:comment>
  <w:comment w:id="1" w:author="Katia Sofia Illescas Brol" w:date="2023-06-22T11:05:00Z" w:initials="KSIB">
    <w:p w14:paraId="21D521CA" w14:textId="77777777" w:rsidR="004B3862" w:rsidRDefault="004B3862">
      <w:pPr>
        <w:pStyle w:val="Textocomentario"/>
      </w:pPr>
      <w:r>
        <w:rPr>
          <w:rStyle w:val="Refdecomentario"/>
        </w:rPr>
        <w:annotationRef/>
      </w:r>
      <w:proofErr w:type="gramStart"/>
      <w:r>
        <w:t>Tiene sentido???</w:t>
      </w:r>
      <w:proofErr w:type="gramEnd"/>
      <w:r>
        <w:t xml:space="preserve"> Lo digo como para justificar poner </w:t>
      </w:r>
      <w:proofErr w:type="gramStart"/>
      <w:r>
        <w:t>los amino</w:t>
      </w:r>
      <w:proofErr w:type="gramEnd"/>
      <w:r>
        <w:t xml:space="preserve"> </w:t>
      </w:r>
      <w:proofErr w:type="spellStart"/>
      <w:r>
        <w:t>acidos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4485FE" w15:done="0"/>
  <w15:commentEx w15:paraId="21D521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tia Sofia Illescas Brol">
    <w15:presenceInfo w15:providerId="AD" w15:userId="S-1-5-21-2500443335-2194351053-740524581-45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8E"/>
    <w:rsid w:val="000056B2"/>
    <w:rsid w:val="00006ADA"/>
    <w:rsid w:val="00012A90"/>
    <w:rsid w:val="00025766"/>
    <w:rsid w:val="00041C9D"/>
    <w:rsid w:val="000529BF"/>
    <w:rsid w:val="000627AA"/>
    <w:rsid w:val="000753CA"/>
    <w:rsid w:val="000E1EB2"/>
    <w:rsid w:val="001064A0"/>
    <w:rsid w:val="00174278"/>
    <w:rsid w:val="001C267C"/>
    <w:rsid w:val="001D1E06"/>
    <w:rsid w:val="00220D2E"/>
    <w:rsid w:val="00226729"/>
    <w:rsid w:val="00280550"/>
    <w:rsid w:val="002B4890"/>
    <w:rsid w:val="00342F89"/>
    <w:rsid w:val="003B0A08"/>
    <w:rsid w:val="003D3D9F"/>
    <w:rsid w:val="004B3862"/>
    <w:rsid w:val="004D25A9"/>
    <w:rsid w:val="004F4F50"/>
    <w:rsid w:val="00507F98"/>
    <w:rsid w:val="00540ACC"/>
    <w:rsid w:val="00560FE7"/>
    <w:rsid w:val="005663EF"/>
    <w:rsid w:val="0058294E"/>
    <w:rsid w:val="00583185"/>
    <w:rsid w:val="005F7344"/>
    <w:rsid w:val="00665531"/>
    <w:rsid w:val="006B0B3E"/>
    <w:rsid w:val="0074677D"/>
    <w:rsid w:val="007B5FD8"/>
    <w:rsid w:val="007F6043"/>
    <w:rsid w:val="00924A47"/>
    <w:rsid w:val="00AB4354"/>
    <w:rsid w:val="00AF1225"/>
    <w:rsid w:val="00B75E0D"/>
    <w:rsid w:val="00BF42C7"/>
    <w:rsid w:val="00C0296E"/>
    <w:rsid w:val="00CD1A6E"/>
    <w:rsid w:val="00D06741"/>
    <w:rsid w:val="00D2188E"/>
    <w:rsid w:val="00D44C39"/>
    <w:rsid w:val="00DB5038"/>
    <w:rsid w:val="00E249FA"/>
    <w:rsid w:val="00E445C6"/>
    <w:rsid w:val="00E64518"/>
    <w:rsid w:val="00E97857"/>
    <w:rsid w:val="00F662D9"/>
    <w:rsid w:val="00FB2B15"/>
    <w:rsid w:val="00FD1A63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26A2"/>
  <w15:chartTrackingRefBased/>
  <w15:docId w15:val="{F2F6F31A-9DDD-467D-93B7-C023052F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21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2188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D21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1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F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4F4F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7467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7467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B38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38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38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38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386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9</cp:revision>
  <dcterms:created xsi:type="dcterms:W3CDTF">2023-06-14T08:40:00Z</dcterms:created>
  <dcterms:modified xsi:type="dcterms:W3CDTF">2023-07-18T10:51:00Z</dcterms:modified>
</cp:coreProperties>
</file>