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A8" w:rsidRDefault="00DA35A8" w:rsidP="00DA35A8">
      <w:pPr>
        <w:pStyle w:val="Textoindependiente"/>
        <w:rPr>
          <w:b/>
          <w:color w:val="242424"/>
        </w:rPr>
      </w:pPr>
      <w:r>
        <w:rPr>
          <w:b/>
          <w:color w:val="242424"/>
        </w:rPr>
        <w:t>MULTI-OMICS CHARACTERIZATION OF NEURODEVELOPMENTAL DISORDERS.</w:t>
      </w:r>
    </w:p>
    <w:p w:rsidR="00DA35A8" w:rsidRPr="00DA35A8" w:rsidRDefault="00DA35A8" w:rsidP="00DA35A8">
      <w:pPr>
        <w:pStyle w:val="Textoindependiente"/>
        <w:jc w:val="center"/>
        <w:rPr>
          <w:color w:val="242424"/>
          <w:lang w:val="es-ES"/>
        </w:rPr>
      </w:pPr>
      <w:r w:rsidRPr="00DA35A8">
        <w:rPr>
          <w:color w:val="242424"/>
          <w:lang w:val="es-ES"/>
        </w:rPr>
        <w:t>Sofía Illescas, Guerau Fernández, Alfonso Oyarzábal, and Àngels García-Cazorla</w:t>
      </w:r>
    </w:p>
    <w:p w:rsidR="00DA35A8" w:rsidRPr="00DA35A8" w:rsidRDefault="00DA35A8" w:rsidP="00DA35A8">
      <w:pPr>
        <w:pStyle w:val="Textoindependiente"/>
        <w:jc w:val="center"/>
        <w:rPr>
          <w:color w:val="242424"/>
          <w:lang w:val="es-ES"/>
        </w:rPr>
      </w:pPr>
      <w:r w:rsidRPr="00DA35A8">
        <w:rPr>
          <w:color w:val="242424"/>
          <w:lang w:val="es-ES"/>
        </w:rPr>
        <w:t> </w:t>
      </w:r>
    </w:p>
    <w:p w:rsidR="00DA35A8" w:rsidRDefault="00DA35A8" w:rsidP="00DA35A8">
      <w:pPr>
        <w:pStyle w:val="Textoindependiente"/>
        <w:spacing w:after="0"/>
        <w:jc w:val="both"/>
        <w:rPr>
          <w:color w:val="242424"/>
        </w:rPr>
      </w:pPr>
      <w:r w:rsidRPr="00DA35A8">
        <w:rPr>
          <w:color w:val="242424"/>
          <w:lang w:val="es-ES"/>
        </w:rPr>
        <w:tab/>
      </w:r>
      <w:r>
        <w:rPr>
          <w:color w:val="242424"/>
        </w:rPr>
        <w:t xml:space="preserve">The study of neurodevelopmental disorders (NDDs) has been challenging due to the heterogeneity of their genetic etiology and their complex pathophysiology. The use </w:t>
      </w:r>
      <w:proofErr w:type="gramStart"/>
      <w:r>
        <w:rPr>
          <w:color w:val="242424"/>
        </w:rPr>
        <w:t>of a multi-omics approaches</w:t>
      </w:r>
      <w:proofErr w:type="gramEnd"/>
      <w:r>
        <w:rPr>
          <w:color w:val="242424"/>
        </w:rPr>
        <w:t xml:space="preserve"> for the study of these pathologies can provide both insight into their pathophysiology and outline novel therapeutic alternatives.</w:t>
      </w:r>
    </w:p>
    <w:p w:rsidR="00DA35A8" w:rsidRDefault="00DA35A8" w:rsidP="00DA35A8">
      <w:pPr>
        <w:pStyle w:val="Textoindependiente"/>
        <w:spacing w:after="0"/>
        <w:jc w:val="both"/>
        <w:rPr>
          <w:color w:val="242424"/>
        </w:rPr>
      </w:pPr>
      <w:r>
        <w:rPr>
          <w:color w:val="242424"/>
        </w:rPr>
        <w:tab/>
        <w:t xml:space="preserve">We performed a targeted metabolomics, </w:t>
      </w:r>
      <w:proofErr w:type="spellStart"/>
      <w:r>
        <w:rPr>
          <w:color w:val="242424"/>
        </w:rPr>
        <w:t>lipidomics</w:t>
      </w:r>
      <w:proofErr w:type="spellEnd"/>
      <w:r>
        <w:rPr>
          <w:color w:val="242424"/>
        </w:rPr>
        <w:t xml:space="preserve">, and proteomics analyses on CSF samples from 37 patients with alterations in synaptic metabolism and </w:t>
      </w:r>
      <w:proofErr w:type="gramStart"/>
      <w:r>
        <w:rPr>
          <w:color w:val="242424"/>
        </w:rPr>
        <w:t>5</w:t>
      </w:r>
      <w:proofErr w:type="gramEnd"/>
      <w:r>
        <w:rPr>
          <w:color w:val="242424"/>
        </w:rPr>
        <w:t xml:space="preserve"> controls. Samples from patients as </w:t>
      </w:r>
      <w:proofErr w:type="spellStart"/>
      <w:r>
        <w:rPr>
          <w:color w:val="242424"/>
        </w:rPr>
        <w:t>Rett</w:t>
      </w:r>
      <w:proofErr w:type="spellEnd"/>
      <w:r>
        <w:rPr>
          <w:color w:val="242424"/>
        </w:rPr>
        <w:t xml:space="preserve"> syndrome, </w:t>
      </w:r>
      <w:proofErr w:type="spellStart"/>
      <w:r>
        <w:rPr>
          <w:color w:val="242424"/>
        </w:rPr>
        <w:t>GRINpathies</w:t>
      </w:r>
      <w:proofErr w:type="spellEnd"/>
      <w:r>
        <w:rPr>
          <w:color w:val="242424"/>
        </w:rPr>
        <w:t xml:space="preserve"> or STXBP1 encephalopathy were included. We performed univariate (UVA) and multivariate statistical analysis (MVA), using Wilcoxon rank-sum test, principal component analysis (PCA), and </w:t>
      </w:r>
      <w:proofErr w:type="spellStart"/>
      <w:r>
        <w:rPr>
          <w:color w:val="242424"/>
        </w:rPr>
        <w:t>oPLS</w:t>
      </w:r>
      <w:proofErr w:type="spellEnd"/>
      <w:r>
        <w:rPr>
          <w:color w:val="242424"/>
        </w:rPr>
        <w:t xml:space="preserve">-DA. By using the results of both analyses, we identified the biomolecules that </w:t>
      </w:r>
      <w:proofErr w:type="gramStart"/>
      <w:r>
        <w:rPr>
          <w:color w:val="242424"/>
        </w:rPr>
        <w:t>were significantly altered</w:t>
      </w:r>
      <w:proofErr w:type="gramEnd"/>
      <w:r>
        <w:rPr>
          <w:color w:val="242424"/>
        </w:rPr>
        <w:t xml:space="preserve"> and that were important in the separation of the respective groups. On these, we performed pathway- and network-based analyses to define which metabolic pathways </w:t>
      </w:r>
      <w:proofErr w:type="gramStart"/>
      <w:r>
        <w:rPr>
          <w:color w:val="242424"/>
        </w:rPr>
        <w:t>were possibly altered</w:t>
      </w:r>
      <w:proofErr w:type="gramEnd"/>
      <w:r>
        <w:rPr>
          <w:color w:val="242424"/>
        </w:rPr>
        <w:t xml:space="preserve"> in each pathology.</w:t>
      </w:r>
    </w:p>
    <w:p w:rsidR="00DA35A8" w:rsidRDefault="00DA35A8" w:rsidP="00DA35A8">
      <w:pPr>
        <w:pStyle w:val="Textoindependiente"/>
        <w:spacing w:after="0"/>
        <w:jc w:val="both"/>
        <w:rPr>
          <w:color w:val="242424"/>
        </w:rPr>
      </w:pPr>
      <w:r>
        <w:rPr>
          <w:color w:val="242424"/>
        </w:rPr>
        <w:tab/>
        <w:t xml:space="preserve">In </w:t>
      </w:r>
      <w:proofErr w:type="spellStart"/>
      <w:r>
        <w:rPr>
          <w:color w:val="242424"/>
        </w:rPr>
        <w:t>Rett</w:t>
      </w:r>
      <w:proofErr w:type="spellEnd"/>
      <w:r>
        <w:rPr>
          <w:color w:val="242424"/>
        </w:rPr>
        <w:t xml:space="preserve"> syndrome samples, we observed alterations in the phenylalanine, tyrosine and tryptophan metabolism pathways, which interestingly depend on the same transporter to cross the blood-brain barrier (BBB). We also observed alterations in the inositol phosphate metabolism and in </w:t>
      </w:r>
      <w:proofErr w:type="spellStart"/>
      <w:r>
        <w:rPr>
          <w:color w:val="242424"/>
        </w:rPr>
        <w:t>phosphatidyl</w:t>
      </w:r>
      <w:proofErr w:type="spellEnd"/>
      <w:r>
        <w:rPr>
          <w:color w:val="242424"/>
        </w:rPr>
        <w:t xml:space="preserve"> inositol signaling. Finally, we detected alterations suggesting dysregulation of the pentose phosphate pathway, which may be a therapeutic target.</w:t>
      </w:r>
    </w:p>
    <w:p w:rsidR="00DA35A8" w:rsidRDefault="00DA35A8" w:rsidP="00DA35A8">
      <w:pPr>
        <w:pStyle w:val="Textoindependiente"/>
        <w:spacing w:after="0"/>
        <w:jc w:val="both"/>
        <w:rPr>
          <w:color w:val="242424"/>
        </w:rPr>
      </w:pPr>
      <w:r>
        <w:rPr>
          <w:color w:val="242424"/>
        </w:rPr>
        <w:tab/>
        <w:t xml:space="preserve">Opposite to previous reports, </w:t>
      </w:r>
      <w:proofErr w:type="spellStart"/>
      <w:r>
        <w:rPr>
          <w:color w:val="242424"/>
        </w:rPr>
        <w:t>lipidomics</w:t>
      </w:r>
      <w:proofErr w:type="spellEnd"/>
      <w:r>
        <w:rPr>
          <w:color w:val="242424"/>
        </w:rPr>
        <w:t xml:space="preserve"> analysis showed no significant differences between the controls and the different groups of patients. Notably, we did observe significant differences comparing samples from patients with mutations in </w:t>
      </w:r>
      <w:r>
        <w:rPr>
          <w:i/>
          <w:iCs/>
          <w:color w:val="242424"/>
        </w:rPr>
        <w:t>GRIN</w:t>
      </w:r>
      <w:r>
        <w:rPr>
          <w:color w:val="242424"/>
        </w:rPr>
        <w:t xml:space="preserve"> vs </w:t>
      </w:r>
      <w:r>
        <w:rPr>
          <w:i/>
          <w:iCs/>
          <w:color w:val="242424"/>
        </w:rPr>
        <w:t>STXBP1</w:t>
      </w:r>
      <w:r>
        <w:rPr>
          <w:color w:val="242424"/>
        </w:rPr>
        <w:t xml:space="preserve">, both pathologies with a </w:t>
      </w:r>
      <w:proofErr w:type="spellStart"/>
      <w:r>
        <w:rPr>
          <w:color w:val="242424"/>
        </w:rPr>
        <w:t>hypoglutamatergic</w:t>
      </w:r>
      <w:proofErr w:type="spellEnd"/>
      <w:r>
        <w:rPr>
          <w:color w:val="242424"/>
        </w:rPr>
        <w:t xml:space="preserve"> phenotype. We are currently studying the implication of these alterations in the pathophysiology of both diseases and whether their modulation can constitute a therapeutic target.</w:t>
      </w:r>
    </w:p>
    <w:p w:rsidR="00DA35A8" w:rsidRDefault="00DA35A8" w:rsidP="00DA35A8">
      <w:pPr>
        <w:pStyle w:val="Textoindependiente"/>
        <w:spacing w:after="0"/>
        <w:jc w:val="both"/>
        <w:rPr>
          <w:color w:val="242424"/>
        </w:rPr>
      </w:pPr>
      <w:r>
        <w:rPr>
          <w:color w:val="242424"/>
        </w:rPr>
        <w:tab/>
        <w:t>Multi-omics integration of complex neurodevelopmental disorders advance the understanding of their pathophysiology, shining light on an under-studied feature as is their metabolic component.</w:t>
      </w:r>
    </w:p>
    <w:p w:rsidR="00DA35A8" w:rsidRDefault="00DA35A8" w:rsidP="00DA35A8"/>
    <w:p w:rsidR="00DA35A8" w:rsidRDefault="00DA35A8" w:rsidP="00DA35A8"/>
    <w:p w:rsidR="001A546E" w:rsidRDefault="00DA35A8">
      <w:bookmarkStart w:id="0" w:name="_GoBack"/>
      <w:bookmarkEnd w:id="0"/>
    </w:p>
    <w:sectPr w:rsidR="001A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A8"/>
    <w:rsid w:val="00041C9D"/>
    <w:rsid w:val="00D44C39"/>
    <w:rsid w:val="00DA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3B1A0-E937-419C-A3B4-9572C61C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5A8"/>
    <w:pPr>
      <w:suppressAutoHyphens/>
      <w:spacing w:after="0" w:line="240" w:lineRule="auto"/>
    </w:pPr>
    <w:rPr>
      <w:rFonts w:ascii="Liberation Serif" w:eastAsia="Songti SC" w:hAnsi="Liberation Serif" w:cs="Arial Unicode MS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unhideWhenUsed/>
    <w:rsid w:val="00DA35A8"/>
    <w:pPr>
      <w:spacing w:after="14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DA35A8"/>
    <w:rPr>
      <w:rFonts w:ascii="Liberation Serif" w:eastAsia="Songti SC" w:hAnsi="Liberation Serif" w:cs="Arial Unicode MS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8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1945</Characters>
  <Application>Microsoft Office Word</Application>
  <DocSecurity>0</DocSecurity>
  <Lines>16</Lines>
  <Paragraphs>4</Paragraphs>
  <ScaleCrop>false</ScaleCrop>
  <Company>HSJDBCN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1</cp:revision>
  <dcterms:created xsi:type="dcterms:W3CDTF">2023-06-12T10:04:00Z</dcterms:created>
  <dcterms:modified xsi:type="dcterms:W3CDTF">2023-06-12T10:05:00Z</dcterms:modified>
</cp:coreProperties>
</file>