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Video script outline (according to strip)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Dramatic events: ‘Winter that are too warm, the poles melting, forests burning… we are constantly being bombarded with bad news about the situation of our planet, but is all hope really lost?’ (20 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is something we can see as an example of good decisions being made in time, and that is the infamous </w:t>
      </w:r>
      <w:r w:rsidDel="00000000" w:rsidR="00000000" w:rsidRPr="00000000">
        <w:rPr>
          <w:i w:val="1"/>
          <w:rtl w:val="0"/>
        </w:rPr>
        <w:t xml:space="preserve">ozone hole</w:t>
      </w:r>
      <w:r w:rsidDel="00000000" w:rsidR="00000000" w:rsidRPr="00000000">
        <w:rPr>
          <w:rtl w:val="0"/>
        </w:rPr>
        <w:t xml:space="preserve">’ (10s)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ozone hole was first detected in the late 60s but its origin date decades back. Now let’s take a look at the size of the ozone hole of the last (...) years. The steep slope during the first (...) years is a reflection of the industrial development, reaching the incredible size of (...)km^2.  But what causes the size to decrease back again from the year (...)?’ (NOTE: say something more to fill up time, explain small dip as arrow pointing out or other funny non-verbal thing.) (30s)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five main agents that create the ozone hole are (...), with CFC’s being the most important ones. CFC’s were introduced to the general public in the 20s and could be found in all kinds of things ranging from refrigerators to hairspray (NOTE: make small colourful drawings on side with three common items where CFC’s could be found). In 19… CFC’s accounted for …% of total greenhouse gases emissions whereas that number is only …% in 2016, much less/more compared to other factors like (...).’ (30s)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Join to strip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 how come CFC’s are being used much less now than (...) years ago? Introduce our best friend: regulations. Following the recommendation of scientists, (...number countries…) signed in (...year…)  the Montreal Protocol, which banned the use of most CFC’s’. (20s)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consequences were visible a decade later, with the amount of O3 recovering and the size of the hole decreasing. This proves the positive long-term effects of regulations of substances harmful to the planet’. (20s)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‘Yet whereas many countries have agreed to install environmental policies, some developing countries with strong industries like (..names..) are actively contributing to climate change, now with greenhouse gases emissions up to 150/200/300… % those of other countries’ (NOTE: has any of these countries not signed the Paris/Montreal/Kyoto agreement?). ‘What’s worse, now a big economy like the US are even withdrawing from environmental agreements, which may encourage other countries to do so’. (30s)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have proved that listening to science and acting together efficiently on time can have positive effects. Now it is the time to learn this lesson and put it into practice before it is too late.’ (15s) (NOTE: add something more/any other positive afterword?)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