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Плакатная графика Анри де Тулуз-Лотрека: сюжеты, шрифт, цвет</w:t>
      </w:r>
    </w:p>
    <w:p>
      <w:r>
        <w:t>Материал для выступления примерно на 20–25 минут: 20 слайдов, 18 произведений. Биографические сведения сведены к минимуму. «На слайд» — короткие тезисы для экрана; «Текст выступления» — связный комментарий для докладчика. Названия и инвентарные номера произведений сверены с открытым каталогом Art Institute of Chicago. Анализ композиции, шрифта и цвета представляет авторский искусствоведческий разбор, а не цитаты из музейных аннотаций.</w:t>
      </w:r>
    </w:p>
    <w:p>
      <w:pPr>
        <w:pStyle w:val="Heading1"/>
      </w:pPr>
      <w:r>
        <w:t>Как пользоваться материалом</w:t>
      </w:r>
    </w:p>
    <w:p>
      <w:r>
        <w:t>В этом документе — готовый текст выступления, тезисы и ссылки. Иллюстрированный онлайн-каталог находится в приложенном HTML-файле.</w:t>
      </w:r>
    </w:p>
    <w:p>
      <w:r>
        <w:t>Репродукции не встроены в DOCX и ZIP: музейные серверы изображений недоступны из среды подготовки. Откройте файл Lautrec_Text_and_Images.html в браузере с интернетом: он запрашивает изображения напрямую у Art Institute of Chicago. У каждого изображения есть ссылка на музейную карточку, текущие сведения о дате и технике и кнопка открытия музейного JPG. Фактическую загрузку и разрешение всех 18 изображений здесь проверить не удалось. Изображения не заменены генерациями, перепечатками или искусственно увеличенными миниатюрами.</w:t>
      </w:r>
    </w:p>
    <w:p>
      <w:r>
        <w:t>При переносе на слайды берите 2–3 коротких тезиса и большое изображение. Основной комментарий оставляйте в заметках докладчика.</w:t>
      </w:r>
    </w:p>
    <w:p>
      <w:r>
        <w:br w:type="page"/>
      </w:r>
    </w:p>
    <w:p>
      <w:pPr>
        <w:pStyle w:val="Heading1"/>
      </w:pPr>
      <w:r>
        <w:t>1. Плакат как искусство быстрого узнавания</w:t>
      </w:r>
    </w:p>
    <w:p>
      <w:pPr>
        <w:pStyle w:val="Heading2"/>
      </w:pPr>
      <w:r>
        <w:t>На слайд</w:t>
      </w:r>
    </w:p>
    <w:p>
      <w:pPr>
        <w:pStyle w:val="ListBullet"/>
      </w:pPr>
      <w:r>
        <w:t>Париж 1890-х годов: реклама, зрелища, массовая печать.</w:t>
      </w:r>
    </w:p>
    <w:p>
      <w:pPr>
        <w:pStyle w:val="ListBullet"/>
      </w:pPr>
      <w:r>
        <w:t>Три средства воздействия: характерный образ, надпись, цветовое пятно.</w:t>
      </w:r>
    </w:p>
    <w:p>
      <w:pPr>
        <w:pStyle w:val="ListBullet"/>
      </w:pPr>
      <w:r>
        <w:t>Плакат нужно рассматривать с учётом его уличной функции.</w:t>
      </w:r>
    </w:p>
    <w:p>
      <w:pPr>
        <w:pStyle w:val="Heading2"/>
      </w:pPr>
      <w:r>
        <w:t>Текст выступления</w:t>
      </w:r>
    </w:p>
    <w:p>
      <w:r>
        <w:t>Плакатная графика Анри де Тулуз-Лотрека — один из наиболее выразительных примеров того, как реклама стала важной областью современного искусства. В центре моего выступления будут не события его личной жизни, а способы, которыми он строил визуальное сообщение.</w:t>
      </w:r>
    </w:p>
    <w:p>
      <w:r>
        <w:t>Его афиши существовали среди городской толпы и других объявлений. Поэтому зритель должен был быстро заметить изображение, узнать артиста или заведение и запомнить название. Лотрек решал эту задачу с помощью крупных силуэтов, необычного кадрирования и надписей, которые становились частью рисунка. При этом его плакаты не одинаковы: одни действуют как лаконичный портрет, другие — как сценка, третьи передают ритм танца. Именно различия между этими решениями позволяют понять его деятельность глубже, чем простое перечисление характерных признаков.</w:t>
      </w:r>
    </w:p>
    <w:p>
      <w:pPr>
        <w:pStyle w:val="Heading2"/>
      </w:pPr>
      <w:r>
        <w:t>Произведения и музейные источники</w:t>
      </w:r>
    </w:p>
    <w:p>
      <w:r>
        <w:t xml:space="preserve">«Мулен Руж. Ла Гулю» / Moulin Rouge, La Goulue, 1891. Art Institute of Chicago, инв. № 1954.1193. </w:t>
      </w:r>
      <w:hyperlink r:id="rId9">
        <w:r>
          <w:rPr>
            <w:color w:val="175B83"/>
            <w:u w:val="single"/>
          </w:rPr>
          <w:t>Музейная карточка</w:t>
        </w:r>
      </w:hyperlink>
      <w:r>
        <w:t xml:space="preserve"> · </w:t>
      </w:r>
      <w:hyperlink r:id="rId10">
        <w:r>
          <w:rPr>
            <w:color w:val="175B83"/>
            <w:u w:val="single"/>
          </w:rPr>
          <w:t>API каталога</w:t>
        </w:r>
      </w:hyperlink>
    </w:p>
    <w:p>
      <w:r>
        <w:t xml:space="preserve">«Японский диван» / Divan Japonais, 1893. Art Institute of Chicago, инв. № 1949.1002. </w:t>
      </w:r>
      <w:hyperlink r:id="rId11">
        <w:r>
          <w:rPr>
            <w:color w:val="175B83"/>
            <w:u w:val="single"/>
          </w:rPr>
          <w:t>Музейная карточка</w:t>
        </w:r>
      </w:hyperlink>
      <w:r>
        <w:t xml:space="preserve"> · </w:t>
      </w:r>
      <w:hyperlink r:id="rId12">
        <w:r>
          <w:rPr>
            <w:color w:val="175B83"/>
            <w:u w:val="single"/>
          </w:rPr>
          <w:t>API каталога</w:t>
        </w:r>
      </w:hyperlink>
    </w:p>
    <w:p>
      <w:r>
        <w:br w:type="page"/>
      </w:r>
    </w:p>
    <w:p>
      <w:pPr>
        <w:pStyle w:val="Heading1"/>
      </w:pPr>
      <w:r>
        <w:t>2. Художник и круг его заказов</w:t>
      </w:r>
    </w:p>
    <w:p>
      <w:pPr>
        <w:pStyle w:val="Heading2"/>
      </w:pPr>
      <w:r>
        <w:t>На слайд</w:t>
      </w:r>
    </w:p>
    <w:p>
      <w:pPr>
        <w:pStyle w:val="ListBullet"/>
      </w:pPr>
      <w:r>
        <w:t>Анри де Тулуз-Лотрек, 1864–1901; основная среда — Париж и Монмартр.</w:t>
      </w:r>
    </w:p>
    <w:p>
      <w:pPr>
        <w:pStyle w:val="ListBullet"/>
      </w:pPr>
      <w:r>
        <w:t>Заказчики: кабаре, артисты, издатели, коммерческие предприятия.</w:t>
      </w:r>
    </w:p>
    <w:p>
      <w:pPr>
        <w:pStyle w:val="ListBullet"/>
      </w:pPr>
      <w:r>
        <w:t>Плакат связан с рисунком, живописью, журнальной и альбомной графикой.</w:t>
      </w:r>
    </w:p>
    <w:p>
      <w:pPr>
        <w:pStyle w:val="Heading2"/>
      </w:pPr>
      <w:r>
        <w:t>Текст выступления</w:t>
      </w:r>
    </w:p>
    <w:p>
      <w:r>
        <w:t>Для понимания темы достаточно нескольких биографических ориентиров. Тулуз-Лотрек родился в 1864 году, работал главным образом в Париже и особенно тесно был связан с Монмартром. Он наблюдал артистов, танцовщиц, публику и повседневную жизнь развлекательных заведений. Эти наблюдения давали ему материал для рисунков, живописи и печатной графики.</w:t>
      </w:r>
    </w:p>
    <w:p>
      <w:r>
        <w:t>Однако сводить его работу к рекламе «Мулен Руж» было бы неправильно. Он создавал афиши для исполнителей и кафе-концертов, рекламировал журналы и книги, работал над коммерческими заказами. За 1890-е годы он разработал около тридцати плакатов. Это относительно небольшой корпус, но внутри него видна последовательная работа с разными рекламными задачами. Для кабаре нужно было обещать зрелище, для артиста — создать узнаваемый сценический образ, для издания — передать его культурную или литературную репутацию.</w:t>
      </w:r>
    </w:p>
    <w:p>
      <w:pPr>
        <w:pStyle w:val="Heading2"/>
      </w:pPr>
      <w:r>
        <w:t>Произведения и музейные источники</w:t>
      </w:r>
    </w:p>
    <w:p>
      <w:r>
        <w:t xml:space="preserve">«Амбассадёр: Аристид Брюан» / Ambassadeurs: Aristide Bruant, 1892. Art Institute of Chicago, инв. № 1948.450. </w:t>
      </w:r>
      <w:hyperlink r:id="rId13">
        <w:r>
          <w:rPr>
            <w:color w:val="175B83"/>
            <w:u w:val="single"/>
          </w:rPr>
          <w:t>Музейная карточка</w:t>
        </w:r>
      </w:hyperlink>
      <w:r>
        <w:t xml:space="preserve"> · </w:t>
      </w:r>
      <w:hyperlink r:id="rId14">
        <w:r>
          <w:rPr>
            <w:color w:val="175B83"/>
            <w:u w:val="single"/>
          </w:rPr>
          <w:t>API каталога</w:t>
        </w:r>
      </w:hyperlink>
    </w:p>
    <w:p>
      <w:r>
        <w:t xml:space="preserve">«Ла Ревю бланш» / La revue blanche, 1895. Art Institute of Chicago, инв. № 1932.1322. </w:t>
      </w:r>
      <w:hyperlink r:id="rId15">
        <w:r>
          <w:rPr>
            <w:color w:val="175B83"/>
            <w:u w:val="single"/>
          </w:rPr>
          <w:t>Музейная карточка</w:t>
        </w:r>
      </w:hyperlink>
      <w:r>
        <w:t xml:space="preserve"> · </w:t>
      </w:r>
      <w:hyperlink r:id="rId16">
        <w:r>
          <w:rPr>
            <w:color w:val="175B83"/>
            <w:u w:val="single"/>
          </w:rPr>
          <w:t>API каталога</w:t>
        </w:r>
      </w:hyperlink>
    </w:p>
    <w:p>
      <w:r>
        <w:t xml:space="preserve">«Цепь Симпсона» / The Simpson Chain, 1896. Art Institute of Chicago, инв. № 2015.278. </w:t>
      </w:r>
      <w:hyperlink r:id="rId17">
        <w:r>
          <w:rPr>
            <w:color w:val="175B83"/>
            <w:u w:val="single"/>
          </w:rPr>
          <w:t>Музейная карточка</w:t>
        </w:r>
      </w:hyperlink>
      <w:r>
        <w:t xml:space="preserve"> · </w:t>
      </w:r>
      <w:hyperlink r:id="rId18">
        <w:r>
          <w:rPr>
            <w:color w:val="175B83"/>
            <w:u w:val="single"/>
          </w:rPr>
          <w:t>API каталога</w:t>
        </w:r>
      </w:hyperlink>
    </w:p>
    <w:p>
      <w:r>
        <w:br w:type="page"/>
      </w:r>
    </w:p>
    <w:p>
      <w:pPr>
        <w:pStyle w:val="Heading1"/>
      </w:pPr>
      <w:r>
        <w:t>3. Почему именно литография</w:t>
      </w:r>
    </w:p>
    <w:p>
      <w:pPr>
        <w:pStyle w:val="Heading2"/>
      </w:pPr>
      <w:r>
        <w:t>На слайд</w:t>
      </w:r>
    </w:p>
    <w:p>
      <w:pPr>
        <w:pStyle w:val="ListBullet"/>
      </w:pPr>
      <w:r>
        <w:t>Литография — плоская печать с камня; её основа — взаимодействие воды и жирной краски.</w:t>
      </w:r>
    </w:p>
    <w:p>
      <w:pPr>
        <w:pStyle w:val="ListBullet"/>
      </w:pPr>
      <w:r>
        <w:t>Цветной оттиск получают последовательной печатью с нескольких форм.</w:t>
      </w:r>
    </w:p>
    <w:p>
      <w:pPr>
        <w:pStyle w:val="ListBullet"/>
      </w:pPr>
      <w:r>
        <w:t>Рисованная линия, заливка и зернистая фактура могут работать вместе.</w:t>
      </w:r>
    </w:p>
    <w:p>
      <w:pPr>
        <w:pStyle w:val="Heading2"/>
      </w:pPr>
      <w:r>
        <w:t>Текст выступления</w:t>
      </w:r>
    </w:p>
    <w:p>
      <w:r>
        <w:t>Литография позволяла художнику сохранять непосредственный характер рисунка и одновременно тиражировать его. На подготовленном камне изображение выполняли жирным материалом; после химической обработки печатающие и непечатающие участки по-разному взаимодействовали с водой и краской. Для многоцветного изображения требовались отдельные печатные формы и точное совмещение оттисков.</w:t>
      </w:r>
    </w:p>
    <w:p>
      <w:r>
        <w:t>Лотрек использовал не только ровные цветовые заливки. У него встречаются свободный штрих и крапчатый тон, полученный набрызгом — приёмом, известным как crachis. Поэтому его графика бывает одновременно плоскостной и фактурной.</w:t>
      </w:r>
    </w:p>
    <w:p>
      <w:r>
        <w:t>Обложка первого альбома «L’Estampe originale» показывает саму среду художественной печати: женщину, рассматривающую оттиск, и работу печатника. Здесь важно сделать оговорку: это обложка альбома, а не уличная афиша. Она включена в презентацию как объяснение профессиональной среды, в которой создавались плакаты. Обложка также напоминает, что тиражный лист мог восприниматься и как самостоятельное коллекционное произведение.</w:t>
      </w:r>
    </w:p>
    <w:p>
      <w:pPr>
        <w:pStyle w:val="Heading2"/>
      </w:pPr>
      <w:r>
        <w:t>Произведения и музейные источники</w:t>
      </w:r>
    </w:p>
    <w:p>
      <w:r>
        <w:t xml:space="preserve">Обложка первого альбома «Оригинальная гравюра» / Cover for the first album of L'Estampe originale, 1893. Art Institute of Chicago, инв. № 1932.1326. </w:t>
      </w:r>
      <w:hyperlink r:id="rId19">
        <w:r>
          <w:rPr>
            <w:color w:val="175B83"/>
            <w:u w:val="single"/>
          </w:rPr>
          <w:t>Музейная карточка</w:t>
        </w:r>
      </w:hyperlink>
      <w:r>
        <w:t xml:space="preserve"> · </w:t>
      </w:r>
      <w:hyperlink r:id="rId20">
        <w:r>
          <w:rPr>
            <w:color w:val="175B83"/>
            <w:u w:val="single"/>
          </w:rPr>
          <w:t>API каталога</w:t>
        </w:r>
      </w:hyperlink>
    </w:p>
    <w:p>
      <w:r>
        <w:t>Обложка альбома; сравнительный пример, не уличный плакат.</w:t>
      </w:r>
    </w:p>
    <w:p>
      <w:r>
        <w:br w:type="page"/>
      </w:r>
    </w:p>
    <w:p>
      <w:pPr>
        <w:pStyle w:val="Heading1"/>
      </w:pPr>
      <w:r>
        <w:t>4. «Мулен Руж. Ла Гулю», 1891: устройство большого плаката</w:t>
      </w:r>
    </w:p>
    <w:p>
      <w:pPr>
        <w:pStyle w:val="Heading2"/>
      </w:pPr>
      <w:r>
        <w:t>На слайд</w:t>
      </w:r>
    </w:p>
    <w:p>
      <w:pPr>
        <w:pStyle w:val="ListBullet"/>
      </w:pPr>
      <w:r>
        <w:t>Крупный план, танцовщица и полоса зрительских силуэтов.</w:t>
      </w:r>
    </w:p>
    <w:p>
      <w:pPr>
        <w:pStyle w:val="ListBullet"/>
      </w:pPr>
      <w:r>
        <w:t>Светлая юбка — композиционный центр.</w:t>
      </w:r>
    </w:p>
    <w:p>
      <w:pPr>
        <w:pStyle w:val="ListBullet"/>
      </w:pPr>
      <w:r>
        <w:t>Повтор названия усиливает запоминание.</w:t>
      </w:r>
    </w:p>
    <w:p>
      <w:pPr>
        <w:pStyle w:val="Heading2"/>
      </w:pPr>
      <w:r>
        <w:t>Текст выступления</w:t>
      </w:r>
    </w:p>
    <w:p>
      <w:r>
        <w:t>«Мулен Руж. Ла Гулю» — первая большая афиша Лотрека и ключ к его плакатному методу. Пространство организовано несколькими резко различающимися планами. На переднем — крупная обрезанная фигура Валантена Бескостного; дальше танцует Ла Гулю; за ней проходит почти сплошная тёмная полоса зрителей.</w:t>
      </w:r>
    </w:p>
    <w:p>
      <w:r>
        <w:t>Главный светлый акцент — поднятая юбка танцовщицы. Она выделяется на фоне чёрных силуэтов и направляет внимание к движению. Передняя фигура кажется слишком большой по сравнению с остальными, но именно это создаёт эффект присутствия: зритель словно находится у самой площадки.</w:t>
      </w:r>
    </w:p>
    <w:p>
      <w:r>
        <w:t>Название «Moulin Rouge» повторяется в верхней части листа. Повтор работает и как реклама, и как зрительный ритм. При этом художник не описывает зал во всех подробностях: он оставляет только те признаки, которые передают характер танца, плотность толпы и узнаваемость заведения. Это не уменьшенная картина, перенесённая на афишу, а композиция, специально рассчитанная на плакат.</w:t>
      </w:r>
    </w:p>
    <w:p>
      <w:pPr>
        <w:pStyle w:val="Heading2"/>
      </w:pPr>
      <w:r>
        <w:t>Произведения и музейные источники</w:t>
      </w:r>
    </w:p>
    <w:p>
      <w:r>
        <w:t xml:space="preserve">«Мулен Руж. Ла Гулю» / Moulin Rouge, La Goulue, 1891. Art Institute of Chicago, инв. № 1954.1193. </w:t>
      </w:r>
      <w:hyperlink r:id="rId9">
        <w:r>
          <w:rPr>
            <w:color w:val="175B83"/>
            <w:u w:val="single"/>
          </w:rPr>
          <w:t>Музейная карточка</w:t>
        </w:r>
      </w:hyperlink>
      <w:r>
        <w:t xml:space="preserve"> · </w:t>
      </w:r>
      <w:hyperlink r:id="rId10">
        <w:r>
          <w:rPr>
            <w:color w:val="175B83"/>
            <w:u w:val="single"/>
          </w:rPr>
          <w:t>API каталога</w:t>
        </w:r>
      </w:hyperlink>
    </w:p>
    <w:p>
      <w:r>
        <w:br w:type="page"/>
      </w:r>
    </w:p>
    <w:p>
      <w:pPr>
        <w:pStyle w:val="Heading1"/>
      </w:pPr>
      <w:r>
        <w:t>5. Аристид Брюан: портрет, превращённый в рекламный знак</w:t>
      </w:r>
    </w:p>
    <w:p>
      <w:pPr>
        <w:pStyle w:val="Heading2"/>
      </w:pPr>
      <w:r>
        <w:t>На слайд</w:t>
      </w:r>
    </w:p>
    <w:p>
      <w:pPr>
        <w:pStyle w:val="ListBullet"/>
      </w:pPr>
      <w:r>
        <w:t>«Амбассадёр: Аристид Брюан», 1892.</w:t>
      </w:r>
    </w:p>
    <w:p>
      <w:pPr>
        <w:pStyle w:val="ListBullet"/>
      </w:pPr>
      <w:r>
        <w:t>Широкополая шляпа, тёмная одежда, красный шарф.</w:t>
      </w:r>
    </w:p>
    <w:p>
      <w:pPr>
        <w:pStyle w:val="ListBullet"/>
      </w:pPr>
      <w:r>
        <w:t>Мало деталей — сильный и узнаваемый характер.</w:t>
      </w:r>
    </w:p>
    <w:p>
      <w:pPr>
        <w:pStyle w:val="Heading2"/>
      </w:pPr>
      <w:r>
        <w:t>Текст выступления</w:t>
      </w:r>
    </w:p>
    <w:p>
      <w:r>
        <w:t>В афише Аристида Брюана Лотрек выбирает другую стратегию. Здесь не требуется многолюдная сцена: рекламное сообщение сосредоточено в одном человеке. Шляпа, тёмная одежда и красный шарф образуют устойчивое сочетание, которое легко запомнить даже без подробного рассмотрения лица.</w:t>
      </w:r>
    </w:p>
    <w:p>
      <w:r>
        <w:t>Это всё ещё портрет конкретного исполнителя, но его индивидуальность выражается прежде всего через силуэт и несколько атрибутов. Крупные тёмные участки удерживают композицию, а красный акцент делает образ заметным на расстоянии. Надпись сообщает, кого и где можно увидеть, а изображение передаёт сценический характер.</w:t>
      </w:r>
    </w:p>
    <w:p>
      <w:r>
        <w:t>В современных терминах здесь можно говорить о создании визуальной идентичности артиста. Но это именно аналитическое сравнение: Лотрек не пользовался сегодняшним понятием брендинга. Важен сам принцип — зритель узнаёт исполнителя по повторяемому сочетанию формы, цвета и костюма.</w:t>
      </w:r>
    </w:p>
    <w:p>
      <w:pPr>
        <w:pStyle w:val="Heading2"/>
      </w:pPr>
      <w:r>
        <w:t>Произведения и музейные источники</w:t>
      </w:r>
    </w:p>
    <w:p>
      <w:r>
        <w:t xml:space="preserve">«Амбассадёр: Аристид Брюан» / Ambassadeurs: Aristide Bruant, 1892. Art Institute of Chicago, инв. № 1948.450. </w:t>
      </w:r>
      <w:hyperlink r:id="rId13">
        <w:r>
          <w:rPr>
            <w:color w:val="175B83"/>
            <w:u w:val="single"/>
          </w:rPr>
          <w:t>Музейная карточка</w:t>
        </w:r>
      </w:hyperlink>
      <w:r>
        <w:t xml:space="preserve"> · </w:t>
      </w:r>
      <w:hyperlink r:id="rId14">
        <w:r>
          <w:rPr>
            <w:color w:val="175B83"/>
            <w:u w:val="single"/>
          </w:rPr>
          <w:t>API каталога</w:t>
        </w:r>
      </w:hyperlink>
    </w:p>
    <w:p>
      <w:r>
        <w:br w:type="page"/>
      </w:r>
    </w:p>
    <w:p>
      <w:pPr>
        <w:pStyle w:val="Heading1"/>
      </w:pPr>
      <w:r>
        <w:t>6. Один артист — несколько афиш</w:t>
      </w:r>
    </w:p>
    <w:p>
      <w:pPr>
        <w:pStyle w:val="Heading2"/>
      </w:pPr>
      <w:r>
        <w:t>На слайд</w:t>
      </w:r>
    </w:p>
    <w:p>
      <w:pPr>
        <w:pStyle w:val="ListBullet"/>
      </w:pPr>
      <w:r>
        <w:t>«Эльдорадо: Аристид Брюан», 1892.</w:t>
      </w:r>
    </w:p>
    <w:p>
      <w:pPr>
        <w:pStyle w:val="ListBullet"/>
      </w:pPr>
      <w:r>
        <w:t>«Аристид Брюан в своём кабаре», 1893.</w:t>
      </w:r>
    </w:p>
    <w:p>
      <w:pPr>
        <w:pStyle w:val="ListBullet"/>
      </w:pPr>
      <w:r>
        <w:t>Постоянные признаки образа сочетаются с новой композицией и надписью.</w:t>
      </w:r>
    </w:p>
    <w:p>
      <w:pPr>
        <w:pStyle w:val="Heading2"/>
      </w:pPr>
      <w:r>
        <w:t>Текст выступления</w:t>
      </w:r>
    </w:p>
    <w:p>
      <w:r>
        <w:t>Сравнение нескольких афиш Брюана показывает, что узнаваемость не требует буквального повторения одного листа. Сохраняются шляпа, шарф, крупная масса тёмной одежды и подчёркнутая уверенность фигуры. Но меняются расположение текста, соотношение пустого поля и силуэта, формат предъявления исполнителя.</w:t>
      </w:r>
    </w:p>
    <w:p>
      <w:r>
        <w:t>Для плаката «Эльдорадо» особенно важно название площадки. В афише «В своём кабаре» внимание переносится на самого Брюана и его собственное пространство выступления. Изображение и словесная формулировка каждый раз уточняют рекламную задачу.</w:t>
      </w:r>
    </w:p>
    <w:p>
      <w:r>
        <w:t>На этом сравнении удобно показать связь сюжета, шрифта и цвета. Сюжет остаётся портретным, цвет поддерживает узнавание, а надпись меняет конкретный смысл сообщения. Поэтому плакатный язык Лотрека нельзя свести к эффектной картинке с подписью: работа текста здесь так же существенна, как работа силуэта.</w:t>
      </w:r>
    </w:p>
    <w:p>
      <w:pPr>
        <w:pStyle w:val="Heading2"/>
      </w:pPr>
      <w:r>
        <w:t>Произведения и музейные источники</w:t>
      </w:r>
    </w:p>
    <w:p>
      <w:r>
        <w:t xml:space="preserve">«Эльдорадо: Аристид Брюан» / Eldorado: Aristide Bruant, 1892. Art Institute of Chicago, инв. № 1949.1024. </w:t>
      </w:r>
      <w:hyperlink r:id="rId21">
        <w:r>
          <w:rPr>
            <w:color w:val="175B83"/>
            <w:u w:val="single"/>
          </w:rPr>
          <w:t>Музейная карточка</w:t>
        </w:r>
      </w:hyperlink>
      <w:r>
        <w:t xml:space="preserve"> · </w:t>
      </w:r>
      <w:hyperlink r:id="rId22">
        <w:r>
          <w:rPr>
            <w:color w:val="175B83"/>
            <w:u w:val="single"/>
          </w:rPr>
          <w:t>API каталога</w:t>
        </w:r>
      </w:hyperlink>
    </w:p>
    <w:p>
      <w:r>
        <w:t xml:space="preserve">«Аристид Брюан в своём кабаре» / Aristide Bruant, in His Cabaret, 1893. Art Institute of Chicago, инв. № 1949.1005. </w:t>
      </w:r>
      <w:hyperlink r:id="rId23">
        <w:r>
          <w:rPr>
            <w:color w:val="175B83"/>
            <w:u w:val="single"/>
          </w:rPr>
          <w:t>Музейная карточка</w:t>
        </w:r>
      </w:hyperlink>
      <w:r>
        <w:t xml:space="preserve"> · </w:t>
      </w:r>
      <w:hyperlink r:id="rId24">
        <w:r>
          <w:rPr>
            <w:color w:val="175B83"/>
            <w:u w:val="single"/>
          </w:rPr>
          <w:t>API каталога</w:t>
        </w:r>
      </w:hyperlink>
    </w:p>
    <w:p>
      <w:r>
        <w:br w:type="page"/>
      </w:r>
    </w:p>
    <w:p>
      <w:pPr>
        <w:pStyle w:val="Heading1"/>
      </w:pPr>
      <w:r>
        <w:t>7. «Японский диван», 1893: зрители становятся главными героями</w:t>
      </w:r>
    </w:p>
    <w:p>
      <w:pPr>
        <w:pStyle w:val="Heading2"/>
      </w:pPr>
      <w:r>
        <w:t>На слайд</w:t>
      </w:r>
    </w:p>
    <w:p>
      <w:pPr>
        <w:pStyle w:val="ListBullet"/>
      </w:pPr>
      <w:r>
        <w:t>На переднем плане — Жанна Авриль и Эдуар Дюжарден.</w:t>
      </w:r>
    </w:p>
    <w:p>
      <w:pPr>
        <w:pStyle w:val="ListBullet"/>
      </w:pPr>
      <w:r>
        <w:t>Иветта Гильбер узнаваема по длинным чёрным перчаткам.</w:t>
      </w:r>
    </w:p>
    <w:p>
      <w:pPr>
        <w:pStyle w:val="ListBullet"/>
      </w:pPr>
      <w:r>
        <w:t>Обрезка фигур и асимметрия создают активное пространство.</w:t>
      </w:r>
    </w:p>
    <w:p>
      <w:pPr>
        <w:pStyle w:val="Heading2"/>
      </w:pPr>
      <w:r>
        <w:t>Текст выступления</w:t>
      </w:r>
    </w:p>
    <w:p>
      <w:r>
        <w:t>В «Divan Japonais» Лотрек рекламирует заведение через опыт его посетителей. На переднем плане показаны Жанна Авриль и писатель Эдуар Дюжарден. На сцене видна Иветта Гильбер, но её голова обрезана краем листа. Узнавание обеспечивают знаменитые длинные чёрные перчатки.</w:t>
      </w:r>
    </w:p>
    <w:p>
      <w:r>
        <w:t>Такой ход особенно важен: художник показывает, что для узнаваемости иногда достаточно характерной детали. Обрезка не воспринимается как ошибка, потому что она поддерживает ощущение близкого, частичного взгляда из зала.</w:t>
      </w:r>
    </w:p>
    <w:p>
      <w:r>
        <w:t>Асимметрия, плоские цветовые участки и неожиданные границы изображения связаны с усвоением японской гравюры. Однако здесь нет простого копирования японского мотива. Эти приёмы приспособлены к парижской городской сцене. Название заведения включено в верхнее поле и удерживает рекламную функцию листа, тогда как фигуры и фрагменты оркестра создают сложный, но хорошо организованный ритм.</w:t>
      </w:r>
    </w:p>
    <w:p>
      <w:pPr>
        <w:pStyle w:val="Heading2"/>
      </w:pPr>
      <w:r>
        <w:t>Произведения и музейные источники</w:t>
      </w:r>
    </w:p>
    <w:p>
      <w:r>
        <w:t xml:space="preserve">«Японский диван» / Divan Japonais, 1893. Art Institute of Chicago, инв. № 1949.1002. </w:t>
      </w:r>
      <w:hyperlink r:id="rId11">
        <w:r>
          <w:rPr>
            <w:color w:val="175B83"/>
            <w:u w:val="single"/>
          </w:rPr>
          <w:t>Музейная карточка</w:t>
        </w:r>
      </w:hyperlink>
      <w:r>
        <w:t xml:space="preserve"> · </w:t>
      </w:r>
      <w:hyperlink r:id="rId12">
        <w:r>
          <w:rPr>
            <w:color w:val="175B83"/>
            <w:u w:val="single"/>
          </w:rPr>
          <w:t>API каталога</w:t>
        </w:r>
      </w:hyperlink>
    </w:p>
    <w:p>
      <w:r>
        <w:br w:type="page"/>
      </w:r>
    </w:p>
    <w:p>
      <w:pPr>
        <w:pStyle w:val="Heading1"/>
      </w:pPr>
      <w:r>
        <w:t>8. «Жанна Авриль», 1893: как передать танец линией</w:t>
      </w:r>
    </w:p>
    <w:p>
      <w:pPr>
        <w:pStyle w:val="Heading2"/>
      </w:pPr>
      <w:r>
        <w:t>На слайд</w:t>
      </w:r>
    </w:p>
    <w:p>
      <w:pPr>
        <w:pStyle w:val="ListBullet"/>
      </w:pPr>
      <w:r>
        <w:t>Изгиб тела и юбки передаёт характер движения.</w:t>
      </w:r>
    </w:p>
    <w:p>
      <w:pPr>
        <w:pStyle w:val="ListBullet"/>
      </w:pPr>
      <w:r>
        <w:t>Инструмент и рука музыканта входят в передний план.</w:t>
      </w:r>
    </w:p>
    <w:p>
      <w:pPr>
        <w:pStyle w:val="ListBullet"/>
      </w:pPr>
      <w:r>
        <w:t>Линия связывает разные участки листа.</w:t>
      </w:r>
    </w:p>
    <w:p>
      <w:pPr>
        <w:pStyle w:val="Heading2"/>
      </w:pPr>
      <w:r>
        <w:t>Текст выступления</w:t>
      </w:r>
    </w:p>
    <w:p>
      <w:r>
        <w:t>В афише Жанны Авриль движение передаётся не последовательностью поз, а напряжением одной фигуры. Изгиб тела, поднятая нога и очертание юбки создают ощущение танца, который продолжается за пределами изображённого момента.</w:t>
      </w:r>
    </w:p>
    <w:p>
      <w:r>
        <w:t>Необычную роль играет передний план: рука музыканта и фрагмент контрабаса становятся крупным графическим элементом. Контур инструмента участвует в обрамлении композиции и связывает нижнюю часть листа с боковой границей. Таким образом, предмет одновременно обозначает музыкальную среду и организует сам плакат.</w:t>
      </w:r>
    </w:p>
    <w:p>
      <w:r>
        <w:t>Здесь особенно ясно виден переход от наблюдения к отбору. Лотрек не стремится показать весь оркестр и сцену. Он выделяет несколько необходимых линий и цветовых отношений. Поэтому афиша передаёт индивидуальную манеру Авриль, а не условный образ любой танцовщицы. Характер движения становится способом портретного узнавания.</w:t>
      </w:r>
    </w:p>
    <w:p>
      <w:pPr>
        <w:pStyle w:val="Heading2"/>
      </w:pPr>
      <w:r>
        <w:t>Произведения и музейные источники</w:t>
      </w:r>
    </w:p>
    <w:p>
      <w:r>
        <w:t xml:space="preserve">«Жанна Авриль» / Jane Avril, 1893. Art Institute of Chicago, инв. № 1949.1004. </w:t>
      </w:r>
      <w:hyperlink r:id="rId25">
        <w:r>
          <w:rPr>
            <w:color w:val="175B83"/>
            <w:u w:val="single"/>
          </w:rPr>
          <w:t>Музейная карточка</w:t>
        </w:r>
      </w:hyperlink>
      <w:r>
        <w:t xml:space="preserve"> · </w:t>
      </w:r>
      <w:hyperlink r:id="rId26">
        <w:r>
          <w:rPr>
            <w:color w:val="175B83"/>
            <w:u w:val="single"/>
          </w:rPr>
          <w:t>API каталога</w:t>
        </w:r>
      </w:hyperlink>
    </w:p>
    <w:p>
      <w:r>
        <w:br w:type="page"/>
      </w:r>
    </w:p>
    <w:p>
      <w:pPr>
        <w:pStyle w:val="Heading1"/>
      </w:pPr>
      <w:r>
        <w:t>9. «Жанна Авриль», 1899: тело как орнамент</w:t>
      </w:r>
    </w:p>
    <w:p>
      <w:pPr>
        <w:pStyle w:val="Heading2"/>
      </w:pPr>
      <w:r>
        <w:t>На слайд</w:t>
      </w:r>
    </w:p>
    <w:p>
      <w:pPr>
        <w:pStyle w:val="ListBullet"/>
      </w:pPr>
      <w:r>
        <w:t>Сравнение с афишей 1893 года.</w:t>
      </w:r>
    </w:p>
    <w:p>
      <w:pPr>
        <w:pStyle w:val="ListBullet"/>
      </w:pPr>
      <w:r>
        <w:t>Волнообразный силуэт и змеевидный орнамент костюма.</w:t>
      </w:r>
    </w:p>
    <w:p>
      <w:pPr>
        <w:pStyle w:val="ListBullet"/>
      </w:pPr>
      <w:r>
        <w:t>Более изолированная фигура усиливает выразительность контура.</w:t>
      </w:r>
    </w:p>
    <w:p>
      <w:pPr>
        <w:pStyle w:val="Heading2"/>
      </w:pPr>
      <w:r>
        <w:t>Текст выступления</w:t>
      </w:r>
    </w:p>
    <w:p>
      <w:r>
        <w:t>Афиша 1899 года позволяет увидеть, как Лотрек вновь решает задачу изображения той же исполнительницы. Теперь особенно выразителен общий волнообразный силуэт. Орнамент костюма со змеевидным мотивом поддерживает изгиб фигуры, а не существует как независимое украшение.</w:t>
      </w:r>
    </w:p>
    <w:p>
      <w:r>
        <w:t>По сравнению с листом 1893 года внимание ещё сильнее сосредоточено на теле и его контуре. Пустое поле вокруг фигуры делает движение заметным: зрителю не приходится отделять его от подробного окружения.</w:t>
      </w:r>
    </w:p>
    <w:p>
      <w:r>
        <w:t>Это сравнение показывает, почему Лотрека сближают с модерном: человеческая фигура может становиться почти орнаментальным знаком, а линия — объединять изображение. Но его интерес не исчерпывается декоративной плавностью. В контуре сохраняются индивидуальная пластика исполнительницы, напряжённость и некоторая угловатость. Поэтому его нельзя механически приравнять к любому другому мастеру афиши модерна.</w:t>
      </w:r>
    </w:p>
    <w:p>
      <w:pPr>
        <w:pStyle w:val="Heading2"/>
      </w:pPr>
      <w:r>
        <w:t>Произведения и музейные источники</w:t>
      </w:r>
    </w:p>
    <w:p>
      <w:r>
        <w:t xml:space="preserve">«Жанна Авриль» / Jane Avril, 1899. Art Institute of Chicago, инв. № 1949.1009. </w:t>
      </w:r>
      <w:hyperlink r:id="rId27">
        <w:r>
          <w:rPr>
            <w:color w:val="175B83"/>
            <w:u w:val="single"/>
          </w:rPr>
          <w:t>Музейная карточка</w:t>
        </w:r>
      </w:hyperlink>
      <w:r>
        <w:t xml:space="preserve"> · </w:t>
      </w:r>
      <w:hyperlink r:id="rId28">
        <w:r>
          <w:rPr>
            <w:color w:val="175B83"/>
            <w:u w:val="single"/>
          </w:rPr>
          <w:t>API каталога</w:t>
        </w:r>
      </w:hyperlink>
    </w:p>
    <w:p>
      <w:r>
        <w:br w:type="page"/>
      </w:r>
    </w:p>
    <w:p>
      <w:pPr>
        <w:pStyle w:val="Heading1"/>
      </w:pPr>
      <w:r>
        <w:t>10. «Труппа мадемуазель Эглантин», 1896: ритм группы</w:t>
      </w:r>
    </w:p>
    <w:p>
      <w:pPr>
        <w:pStyle w:val="Heading2"/>
      </w:pPr>
      <w:r>
        <w:t>На слайд</w:t>
      </w:r>
    </w:p>
    <w:p>
      <w:pPr>
        <w:pStyle w:val="ListBullet"/>
      </w:pPr>
      <w:r>
        <w:t>Повтор танцующих фигур создаёт последовательность.</w:t>
      </w:r>
    </w:p>
    <w:p>
      <w:pPr>
        <w:pStyle w:val="ListBullet"/>
      </w:pPr>
      <w:r>
        <w:t>Общая линия движения объединяет группу.</w:t>
      </w:r>
    </w:p>
    <w:p>
      <w:pPr>
        <w:pStyle w:val="ListBullet"/>
      </w:pPr>
      <w:r>
        <w:t>Различия внутри повтора сохраняют живой характер танца.</w:t>
      </w:r>
    </w:p>
    <w:p>
      <w:pPr>
        <w:pStyle w:val="Heading2"/>
      </w:pPr>
      <w:r>
        <w:t>Текст выступления</w:t>
      </w:r>
    </w:p>
    <w:p>
      <w:r>
        <w:t>В афише труппы мадемуазель Эглантин возникает другая задача: показать не отдельную звезду, а ансамбль. Лотрек организует группу танцовщиц как ритмическую последовательность. Повторяются позы, направления ног и очертания костюмов, но фигуры не становятся совершенно одинаковыми.</w:t>
      </w:r>
    </w:p>
    <w:p>
      <w:r>
        <w:t>Именно сочетание повтора и небольших различий создаёт ощущение общего танцевального действия. Взгляд проходит вдоль группы и считывает движение во времени. Текст включается в эту композицию как сообщение об ансамбле, а не как отдельная подпись под изображением.</w:t>
      </w:r>
    </w:p>
    <w:p>
      <w:r>
        <w:t>В сравнении с одиночной Жанной Авриль здесь хорошо видны два способа плакатной динамики. В первом случае движение сосредоточено в выразительном изгибе одной фигуры. Во втором оно строится на ритме нескольких фигур. Обе стратегии основаны на отборе характерных поз, а не на подробном изображении сцены.</w:t>
      </w:r>
    </w:p>
    <w:p>
      <w:pPr>
        <w:pStyle w:val="Heading2"/>
      </w:pPr>
      <w:r>
        <w:t>Произведения и музейные источники</w:t>
      </w:r>
    </w:p>
    <w:p>
      <w:r>
        <w:t xml:space="preserve">«Труппа мадемуазель Эглантин» / Mademoiselle Eglantine's Troupe, 1896. Art Institute of Chicago, инв. № 1936.220. </w:t>
      </w:r>
      <w:hyperlink r:id="rId29">
        <w:r>
          <w:rPr>
            <w:color w:val="175B83"/>
            <w:u w:val="single"/>
          </w:rPr>
          <w:t>Музейная карточка</w:t>
        </w:r>
      </w:hyperlink>
      <w:r>
        <w:t xml:space="preserve"> · </w:t>
      </w:r>
      <w:hyperlink r:id="rId30">
        <w:r>
          <w:rPr>
            <w:color w:val="175B83"/>
            <w:u w:val="single"/>
          </w:rPr>
          <w:t>API каталога</w:t>
        </w:r>
      </w:hyperlink>
    </w:p>
    <w:p>
      <w:r>
        <w:br w:type="page"/>
      </w:r>
    </w:p>
    <w:p>
      <w:pPr>
        <w:pStyle w:val="Heading1"/>
      </w:pPr>
      <w:r>
        <w:t>11. Мэй Бельфор и Мэй Милтон, 1895: цвет создаёт различие</w:t>
      </w:r>
    </w:p>
    <w:p>
      <w:pPr>
        <w:pStyle w:val="Heading2"/>
      </w:pPr>
      <w:r>
        <w:t>На слайд</w:t>
      </w:r>
    </w:p>
    <w:p>
      <w:pPr>
        <w:pStyle w:val="ListBullet"/>
      </w:pPr>
      <w:r>
        <w:t>Бельфор: красное платье и чёрный кот как признаки сценического образа.</w:t>
      </w:r>
    </w:p>
    <w:p>
      <w:pPr>
        <w:pStyle w:val="ListBullet"/>
      </w:pPr>
      <w:r>
        <w:t>Милтон: светлая фигура на насыщенном синем поле.</w:t>
      </w:r>
    </w:p>
    <w:p>
      <w:pPr>
        <w:pStyle w:val="ListBullet"/>
      </w:pPr>
      <w:r>
        <w:t>Одинаковый рекламный жанр — разные цветовые стратегии.</w:t>
      </w:r>
    </w:p>
    <w:p>
      <w:pPr>
        <w:pStyle w:val="Heading2"/>
      </w:pPr>
      <w:r>
        <w:t>Текст выступления</w:t>
      </w:r>
    </w:p>
    <w:p>
      <w:r>
        <w:t>Парное сравнение Мэй Бельфор и Мэй Милтон особенно полезно для разговора о цвете. В афише Бельфор крупное красное платье и чёрный кот создают запоминающийся сценический образ. Детали лица занимают сравнительно мало места: узнавание держится на общем сочетании признаков.</w:t>
      </w:r>
    </w:p>
    <w:p>
      <w:r>
        <w:t>В афише Мэй Милтон светлая фигура противопоставлена насыщенному синему фону. Здесь выразительность строится не на большом красном пятне, а на резком различии светлого и тёмного, фигуры и окружающего поля. Силуэт как будто вырезан из цветовой плоскости.</w:t>
      </w:r>
    </w:p>
    <w:p>
      <w:r>
        <w:t>Эти работы опровергают представление, будто у Лотрека была одна обязательная палитра — например, только чёрный, красный и жёлтый. Он ограничивал количество основных красок, но выбирал их в зависимости от образа. При показе важно использовать именно цветные афиши: одноцветные пробные оттиски и другие литографии тех же исполнительниц не заменяют эти плакаты.</w:t>
      </w:r>
    </w:p>
    <w:p>
      <w:pPr>
        <w:pStyle w:val="Heading2"/>
      </w:pPr>
      <w:r>
        <w:t>Произведения и музейные источники</w:t>
      </w:r>
    </w:p>
    <w:p>
      <w:r>
        <w:t xml:space="preserve">«Мэй Бельфор» / May Belfort, 1895. Art Institute of Chicago, инв. № 1949.1007. </w:t>
      </w:r>
      <w:hyperlink r:id="rId31">
        <w:r>
          <w:rPr>
            <w:color w:val="175B83"/>
            <w:u w:val="single"/>
          </w:rPr>
          <w:t>Музейная карточка</w:t>
        </w:r>
      </w:hyperlink>
      <w:r>
        <w:t xml:space="preserve"> · </w:t>
      </w:r>
      <w:hyperlink r:id="rId32">
        <w:r>
          <w:rPr>
            <w:color w:val="175B83"/>
            <w:u w:val="single"/>
          </w:rPr>
          <w:t>API каталога</w:t>
        </w:r>
      </w:hyperlink>
    </w:p>
    <w:p>
      <w:r>
        <w:t xml:space="preserve">«Мэй Милтон» / May Milton, 1895. Art Institute of Chicago, инв. № 1948.451. </w:t>
      </w:r>
      <w:hyperlink r:id="rId33">
        <w:r>
          <w:rPr>
            <w:color w:val="175B83"/>
            <w:u w:val="single"/>
          </w:rPr>
          <w:t>Музейная карточка</w:t>
        </w:r>
      </w:hyperlink>
      <w:r>
        <w:t xml:space="preserve"> · </w:t>
      </w:r>
      <w:hyperlink r:id="rId34">
        <w:r>
          <w:rPr>
            <w:color w:val="175B83"/>
            <w:u w:val="single"/>
          </w:rPr>
          <w:t>API каталога</w:t>
        </w:r>
      </w:hyperlink>
    </w:p>
    <w:p>
      <w:r>
        <w:br w:type="page"/>
      </w:r>
    </w:p>
    <w:p>
      <w:pPr>
        <w:pStyle w:val="Heading1"/>
      </w:pPr>
      <w:r>
        <w:t>12. «Ла Ревю бланш», 1895: реклама культурной среды</w:t>
      </w:r>
    </w:p>
    <w:p>
      <w:pPr>
        <w:pStyle w:val="Heading2"/>
      </w:pPr>
      <w:r>
        <w:t>На слайд</w:t>
      </w:r>
    </w:p>
    <w:p>
      <w:pPr>
        <w:pStyle w:val="ListBullet"/>
      </w:pPr>
      <w:r>
        <w:t>Афиша литературно-художественного журнала.</w:t>
      </w:r>
    </w:p>
    <w:p>
      <w:pPr>
        <w:pStyle w:val="ListBullet"/>
      </w:pPr>
      <w:r>
        <w:t>В центре — образ Миси Натансон.</w:t>
      </w:r>
    </w:p>
    <w:p>
      <w:pPr>
        <w:pStyle w:val="ListBullet"/>
      </w:pPr>
      <w:r>
        <w:t>Издание рекламируется через атмосферу современной культурной жизни.</w:t>
      </w:r>
    </w:p>
    <w:p>
      <w:pPr>
        <w:pStyle w:val="Heading2"/>
      </w:pPr>
      <w:r>
        <w:t>Текст выступления</w:t>
      </w:r>
    </w:p>
    <w:p>
      <w:r>
        <w:t>Афиша журнала «La Revue blanche» показывает, что Лотрек умел рекламировать не только выступления. Вместо иллюстрации содержания конкретного номера он создаёт образ культурной среды, с которой журнал хотел ассоциироваться. В центре находится Мисия Натансон, связанная с кругом редакции и художников.</w:t>
      </w:r>
    </w:p>
    <w:p>
      <w:r>
        <w:t>Название издания и фигура участвуют в общей композиции. Изображение не сообщает читателю подробную программу журнала; оно предлагает узнаваемую современность, артистичность и социальную привлекательность этого круга.</w:t>
      </w:r>
    </w:p>
    <w:p>
      <w:r>
        <w:t>Такой способ рекламы отличается от сценической афиши. Здесь важно не обещание отдельного номера или танца, а репутация издания. Поэтому работа помогает расширить понимание деятельности Лотрека: он создаёт не только изображения знаменитостей, но и визуальные представления о культурных сообществах и образе жизни.</w:t>
      </w:r>
    </w:p>
    <w:p>
      <w:pPr>
        <w:pStyle w:val="Heading2"/>
      </w:pPr>
      <w:r>
        <w:t>Произведения и музейные источники</w:t>
      </w:r>
    </w:p>
    <w:p>
      <w:r>
        <w:t xml:space="preserve">«Ла Ревю бланш» / La revue blanche, 1895. Art Institute of Chicago, инв. № 1932.1322. </w:t>
      </w:r>
      <w:hyperlink r:id="rId15">
        <w:r>
          <w:rPr>
            <w:color w:val="175B83"/>
            <w:u w:val="single"/>
          </w:rPr>
          <w:t>Музейная карточка</w:t>
        </w:r>
      </w:hyperlink>
      <w:r>
        <w:t xml:space="preserve"> · </w:t>
      </w:r>
      <w:hyperlink r:id="rId16">
        <w:r>
          <w:rPr>
            <w:color w:val="175B83"/>
            <w:u w:val="single"/>
          </w:rPr>
          <w:t>API каталога</w:t>
        </w:r>
      </w:hyperlink>
    </w:p>
    <w:p>
      <w:r>
        <w:br w:type="page"/>
      </w:r>
    </w:p>
    <w:p>
      <w:pPr>
        <w:pStyle w:val="Heading1"/>
      </w:pPr>
      <w:r>
        <w:t>13. Реклама книги: «Царица радости» и «Немецкий Вавилон»</w:t>
      </w:r>
    </w:p>
    <w:p>
      <w:pPr>
        <w:pStyle w:val="Heading2"/>
      </w:pPr>
      <w:r>
        <w:t>На слайд</w:t>
      </w:r>
    </w:p>
    <w:p>
      <w:pPr>
        <w:pStyle w:val="ListBullet"/>
      </w:pPr>
      <w:r>
        <w:t>«Reine de Joie», 1892; «Babylone d’Allemagne», 1894.</w:t>
      </w:r>
    </w:p>
    <w:p>
      <w:pPr>
        <w:pStyle w:val="ListBullet"/>
      </w:pPr>
      <w:r>
        <w:t>Афиша может намекать на содержание и интонацию книги.</w:t>
      </w:r>
    </w:p>
    <w:p>
      <w:pPr>
        <w:pStyle w:val="ListBullet"/>
      </w:pPr>
      <w:r>
        <w:t>Социальная наблюдательность и гротеск становятся рекламными средствами.</w:t>
      </w:r>
    </w:p>
    <w:p>
      <w:pPr>
        <w:pStyle w:val="Heading2"/>
      </w:pPr>
      <w:r>
        <w:t>Текст выступления</w:t>
      </w:r>
    </w:p>
    <w:p>
      <w:r>
        <w:t>В рекламе книг Виктора Жоза Лотрек использует сценку и социальный типаж. В «Царице радости» взаимодействие персонажей за столом сразу задаёт тему светской и эротической интриги. Жесты, лица и телесная близость важнее подробного описания интерьера.</w:t>
      </w:r>
    </w:p>
    <w:p>
      <w:r>
        <w:t>В «Немецком Вавилоне» рекламное изображение также связано с представлением о городской жизни и её социальной изнанке. Крупные фигуры и выразительные контрасты должны заинтересовать потенциального читателя ещё до знакомства с текстом книги.</w:t>
      </w:r>
    </w:p>
    <w:p>
      <w:r>
        <w:t>Эти примеры позволяют уточнить понятие сюжета в плакате. Сюжет не обязательно развёрнут в последовательный рассказ. Чаще художник выбирает один эпизод или характерную ситуацию, по которой можно почувствовать содержание и тон произведения. Карикатурное заострение у Лотрека работает не только как насмешка: оно помогает быстро различать характеры и отношения между людьми.</w:t>
      </w:r>
    </w:p>
    <w:p>
      <w:pPr>
        <w:pStyle w:val="Heading2"/>
      </w:pPr>
      <w:r>
        <w:t>Произведения и музейные источники</w:t>
      </w:r>
    </w:p>
    <w:p>
      <w:r>
        <w:t xml:space="preserve">«Царица радости» / Reine de Joie, 1892. Art Institute of Chicago, инв. № 1948.449. </w:t>
      </w:r>
      <w:hyperlink r:id="rId35">
        <w:r>
          <w:rPr>
            <w:color w:val="175B83"/>
            <w:u w:val="single"/>
          </w:rPr>
          <w:t>Музейная карточка</w:t>
        </w:r>
      </w:hyperlink>
      <w:r>
        <w:t xml:space="preserve"> · </w:t>
      </w:r>
      <w:hyperlink r:id="rId36">
        <w:r>
          <w:rPr>
            <w:color w:val="175B83"/>
            <w:u w:val="single"/>
          </w:rPr>
          <w:t>API каталога</w:t>
        </w:r>
      </w:hyperlink>
    </w:p>
    <w:p>
      <w:r>
        <w:t xml:space="preserve">«Немецкий Вавилон» / Babylone d'Allemagne, 1894. Art Institute of Chicago, инв. № 1949.1006. </w:t>
      </w:r>
      <w:hyperlink r:id="rId37">
        <w:r>
          <w:rPr>
            <w:color w:val="175B83"/>
            <w:u w:val="single"/>
          </w:rPr>
          <w:t>Музейная карточка</w:t>
        </w:r>
      </w:hyperlink>
      <w:r>
        <w:t xml:space="preserve"> · </w:t>
      </w:r>
      <w:hyperlink r:id="rId38">
        <w:r>
          <w:rPr>
            <w:color w:val="175B83"/>
            <w:u w:val="single"/>
          </w:rPr>
          <w:t>API каталога</w:t>
        </w:r>
      </w:hyperlink>
    </w:p>
    <w:p>
      <w:r>
        <w:br w:type="page"/>
      </w:r>
    </w:p>
    <w:p>
      <w:pPr>
        <w:pStyle w:val="Heading1"/>
      </w:pPr>
      <w:r>
        <w:t>14. «Цепь Симпсона», 1896: реклама техники через движение</w:t>
      </w:r>
    </w:p>
    <w:p>
      <w:pPr>
        <w:pStyle w:val="Heading2"/>
      </w:pPr>
      <w:r>
        <w:t>На слайд</w:t>
      </w:r>
    </w:p>
    <w:p>
      <w:pPr>
        <w:pStyle w:val="ListBullet"/>
      </w:pPr>
      <w:r>
        <w:t>Коммерческий заказ, связанный с велосипедным спортом.</w:t>
      </w:r>
    </w:p>
    <w:p>
      <w:pPr>
        <w:pStyle w:val="ListBullet"/>
      </w:pPr>
      <w:r>
        <w:t>Товар включён в убедительную среду его применения.</w:t>
      </w:r>
    </w:p>
    <w:p>
      <w:pPr>
        <w:pStyle w:val="ListBullet"/>
      </w:pPr>
      <w:r>
        <w:t>Диагонали и повтор элементов передают скорость.</w:t>
      </w:r>
    </w:p>
    <w:p>
      <w:pPr>
        <w:pStyle w:val="Heading2"/>
      </w:pPr>
      <w:r>
        <w:t>Текст выступления</w:t>
      </w:r>
    </w:p>
    <w:p>
      <w:r>
        <w:t>«The Simpson Chain» расширяет тематический диапазон плакатов Лотрека. Здесь рекламируется велосипедная цепь, то есть технический товар. Однако изображение не превращается в подробную схему механизма. Художник обращается к велосипедному спорту и показывает товар через ситуацию, в которой важны движение и эффективность.</w:t>
      </w:r>
    </w:p>
    <w:p>
      <w:r>
        <w:t>Фигуры велосипедистов, колёса и направляющие линии создают динамику. Зритель воспринимает не отдельную деталь в изоляции, а современную практику, с которой она связана.</w:t>
      </w:r>
    </w:p>
    <w:p>
      <w:r>
        <w:t>На этом примере видно, что композиционный метод Лотрека переносится за пределы кабаре. Для танца он отбирает характерный жест, для спортсменов — позу и направление движения. Плакат должен быть убедителен не количеством технической информации, а цельностью зрительного впечатления. Надпись при этом сохраняет необходимую конкретность: сообщает, какой именно товар рекламируется.</w:t>
      </w:r>
    </w:p>
    <w:p>
      <w:pPr>
        <w:pStyle w:val="Heading2"/>
      </w:pPr>
      <w:r>
        <w:t>Произведения и музейные источники</w:t>
      </w:r>
    </w:p>
    <w:p>
      <w:r>
        <w:t xml:space="preserve">«Цепь Симпсона» / The Simpson Chain, 1896. Art Institute of Chicago, инв. № 2015.278. </w:t>
      </w:r>
      <w:hyperlink r:id="rId17">
        <w:r>
          <w:rPr>
            <w:color w:val="175B83"/>
            <w:u w:val="single"/>
          </w:rPr>
          <w:t>Музейная карточка</w:t>
        </w:r>
      </w:hyperlink>
      <w:r>
        <w:t xml:space="preserve"> · </w:t>
      </w:r>
      <w:hyperlink r:id="rId18">
        <w:r>
          <w:rPr>
            <w:color w:val="175B83"/>
            <w:u w:val="single"/>
          </w:rPr>
          <w:t>API каталога</w:t>
        </w:r>
      </w:hyperlink>
    </w:p>
    <w:p>
      <w:r>
        <w:br w:type="page"/>
      </w:r>
    </w:p>
    <w:p>
      <w:pPr>
        <w:pStyle w:val="Heading1"/>
      </w:pPr>
      <w:r>
        <w:t>15. «L’Artisan Moderne»: бытовая сценка вместо изображения товара</w:t>
      </w:r>
    </w:p>
    <w:p>
      <w:pPr>
        <w:pStyle w:val="Heading2"/>
      </w:pPr>
      <w:r>
        <w:t>На слайд</w:t>
      </w:r>
    </w:p>
    <w:p>
      <w:pPr>
        <w:pStyle w:val="ListBullet"/>
      </w:pPr>
      <w:r>
        <w:t>Реклама художественно-декоративного предприятия.</w:t>
      </w:r>
    </w:p>
    <w:p>
      <w:pPr>
        <w:pStyle w:val="ListBullet"/>
      </w:pPr>
      <w:r>
        <w:t>Визит мастера превращён в небольшую сцену.</w:t>
      </w:r>
    </w:p>
    <w:p>
      <w:pPr>
        <w:pStyle w:val="ListBullet"/>
      </w:pPr>
      <w:r>
        <w:t>Название и действие работают как взаимное пояснение.</w:t>
      </w:r>
    </w:p>
    <w:p>
      <w:pPr>
        <w:pStyle w:val="Heading2"/>
      </w:pPr>
      <w:r>
        <w:t>Текст выступления</w:t>
      </w:r>
    </w:p>
    <w:p>
      <w:r>
        <w:t>В «L’Artisan Moderne» Лотрек использует бытовой сюжет: мастер приходит к заказчице, и между персонажами возникает небольшая сценическая ситуация. Вместо нейтрального перечня предметов или образцов продукции зрителю предлагается человеческое взаимодействие.</w:t>
      </w:r>
    </w:p>
    <w:p>
      <w:r>
        <w:t>Такой подход делает рекламу живой и допускает ироническую интонацию. Название помогает понять коммерческую задачу изображения, а сама сцена привлекает внимание и удерживает интерес. Здесь особенно важна способность Лотрека наблюдать позы, взгляды и отношения персонажей.</w:t>
      </w:r>
    </w:p>
    <w:p>
      <w:r>
        <w:t>В подписи к этой репродукции я предлагаю сохранить датировку, указанную музеем у выбранного экземпляра. Дату создания композиции, дату печати конкретного состояния и дату поздней перепечатки нельзя считать автоматически взаимозаменяемыми. Это общее правило особенно важно при работе с тиражной графикой: нужно проверять не только название изображения, но и статус самого листа.</w:t>
      </w:r>
    </w:p>
    <w:p>
      <w:pPr>
        <w:pStyle w:val="Heading2"/>
      </w:pPr>
      <w:r>
        <w:t>Произведения и музейные источники</w:t>
      </w:r>
    </w:p>
    <w:p>
      <w:r>
        <w:t xml:space="preserve">«Современный ремесленник» / L'Artisan Moderne, 1890-е; датировку выбранного оттиска см. в музейной карточке. Art Institute of Chicago, инв. № 1932.1320. </w:t>
      </w:r>
      <w:hyperlink r:id="rId39">
        <w:r>
          <w:rPr>
            <w:color w:val="175B83"/>
            <w:u w:val="single"/>
          </w:rPr>
          <w:t>Музейная карточка</w:t>
        </w:r>
      </w:hyperlink>
      <w:r>
        <w:t xml:space="preserve"> · </w:t>
      </w:r>
      <w:hyperlink r:id="rId40">
        <w:r>
          <w:rPr>
            <w:color w:val="175B83"/>
            <w:u w:val="single"/>
          </w:rPr>
          <w:t>API каталога</w:t>
        </w:r>
      </w:hyperlink>
    </w:p>
    <w:p>
      <w:r>
        <w:br w:type="page"/>
      </w:r>
    </w:p>
    <w:p>
      <w:pPr>
        <w:pStyle w:val="Heading1"/>
      </w:pPr>
      <w:r>
        <w:t>16. «Фотограф Сеско», 1894: реклама услуги</w:t>
      </w:r>
    </w:p>
    <w:p>
      <w:pPr>
        <w:pStyle w:val="Heading2"/>
      </w:pPr>
      <w:r>
        <w:t>На слайд</w:t>
      </w:r>
    </w:p>
    <w:p>
      <w:pPr>
        <w:pStyle w:val="ListBullet"/>
      </w:pPr>
      <w:r>
        <w:t>Фотографическая услуга получает сюжетное представление.</w:t>
      </w:r>
    </w:p>
    <w:p>
      <w:pPr>
        <w:pStyle w:val="ListBullet"/>
      </w:pPr>
      <w:r>
        <w:t>Фигура, камера и надпись образуют единое рекламное поле.</w:t>
      </w:r>
    </w:p>
    <w:p>
      <w:pPr>
        <w:pStyle w:val="ListBullet"/>
      </w:pPr>
      <w:r>
        <w:t>Шрифт действует как графическая форма.</w:t>
      </w:r>
    </w:p>
    <w:p>
      <w:pPr>
        <w:pStyle w:val="Heading2"/>
      </w:pPr>
      <w:r>
        <w:t>Текст выступления</w:t>
      </w:r>
    </w:p>
    <w:p>
      <w:r>
        <w:t>Афиша фотографа Сеско — ещё один пример коммерческой работы за пределами театральной среды. Здесь рекламируется услуга, а сюжет строится вокруг фотографирования. Лотреку важно показать не устройство камеры само по себе, а привлекательность ситуации и её персонажей.</w:t>
      </w:r>
    </w:p>
    <w:p>
      <w:r>
        <w:t>Эта работа особенно полезна для анализа надписи. В плакатах художника буквы не всегда стремятся к одинаковой ширине и строгой геометрии. Они могут быть рисованными, неровными и пластически активными. Их форма и расположение участвуют в общем движении композиции.</w:t>
      </w:r>
    </w:p>
    <w:p>
      <w:r>
        <w:t>Однако выразительность не отменяет практического назначения. Зрителю нужно запомнить имя фотографа и понять, что предлагается. Поэтому надпись у Лотрека существует на пересечении двух задач: передаёт информацию и создаёт зрительный акцент. Такой двойной статус текста — одна из важнейших особенностей его плакатной графики.</w:t>
      </w:r>
    </w:p>
    <w:p>
      <w:pPr>
        <w:pStyle w:val="Heading2"/>
      </w:pPr>
      <w:r>
        <w:t>Произведения и музейные источники</w:t>
      </w:r>
    </w:p>
    <w:p>
      <w:r>
        <w:t xml:space="preserve">«Фотограф Сеско» / The Photographer Sescau, 1894. Art Institute of Chicago, инв. № 1959.549. </w:t>
      </w:r>
      <w:hyperlink r:id="rId41">
        <w:r>
          <w:rPr>
            <w:color w:val="175B83"/>
            <w:u w:val="single"/>
          </w:rPr>
          <w:t>Музейная карточка</w:t>
        </w:r>
      </w:hyperlink>
      <w:r>
        <w:t xml:space="preserve"> · </w:t>
      </w:r>
      <w:hyperlink r:id="rId42">
        <w:r>
          <w:rPr>
            <w:color w:val="175B83"/>
            <w:u w:val="single"/>
          </w:rPr>
          <w:t>API каталога</w:t>
        </w:r>
      </w:hyperlink>
    </w:p>
    <w:p>
      <w:r>
        <w:br w:type="page"/>
      </w:r>
    </w:p>
    <w:p>
      <w:pPr>
        <w:pStyle w:val="Heading1"/>
      </w:pPr>
      <w:r>
        <w:t>17. Шрифт: иерархия, ритм, связь с изображением</w:t>
      </w:r>
    </w:p>
    <w:p>
      <w:pPr>
        <w:pStyle w:val="Heading2"/>
      </w:pPr>
      <w:r>
        <w:t>На слайд</w:t>
      </w:r>
    </w:p>
    <w:p>
      <w:pPr>
        <w:pStyle w:val="ListBullet"/>
      </w:pPr>
      <w:r>
        <w:t>Иерархия: что увидеть первым, что прочитать затем.</w:t>
      </w:r>
    </w:p>
    <w:p>
      <w:pPr>
        <w:pStyle w:val="ListBullet"/>
      </w:pPr>
      <w:r>
        <w:t>Ритм: повтор, разный масштаб, интервалы.</w:t>
      </w:r>
    </w:p>
    <w:p>
      <w:pPr>
        <w:pStyle w:val="ListBullet"/>
      </w:pPr>
      <w:r>
        <w:t>Шрифт выбирается под задачу; единой «гарнитуры Лотрека» нет.</w:t>
      </w:r>
    </w:p>
    <w:p>
      <w:pPr>
        <w:pStyle w:val="Heading2"/>
      </w:pPr>
      <w:r>
        <w:t>Текст выступления</w:t>
      </w:r>
    </w:p>
    <w:p>
      <w:r>
        <w:t>Если сопоставить несколько афиш, шрифт можно рассмотреть на трёх уровнях. Первый — информационная иерархия. Название площадки, имя артиста и дополнительные сведения не должны конкурировать одинаково: масштаб и расположение подсказывают порядок чтения.</w:t>
      </w:r>
    </w:p>
    <w:p>
      <w:r>
        <w:t>Второй уровень — ритм. В «Мулен Руж» повтор названия усиливает запоминание. В других листах выразительность создают крупное отдельное слово, свободная строка или переход между плотным текстом и пустым полем.</w:t>
      </w:r>
    </w:p>
    <w:p>
      <w:r>
        <w:t>Третий уровень — пластическая связь с изображением. Надпись может уравновешивать большую фигуру, занимать оставленный ею участок или поддерживать общее направление линий. Поэтому не следует утверждать, что Лотрек использовал только гротески или один узнаваемый шрифт. Его буквы различаются, часто имеют характер ручного рисунка и подчинены конкретной афише. Важно анализировать не предполагаемое название современной гарнитуры, а форму букв и их работу внутри листа.</w:t>
      </w:r>
    </w:p>
    <w:p>
      <w:pPr>
        <w:pStyle w:val="Heading2"/>
      </w:pPr>
      <w:r>
        <w:t>Произведения и музейные источники</w:t>
      </w:r>
    </w:p>
    <w:p>
      <w:r>
        <w:t xml:space="preserve">«Мулен Руж. Ла Гулю» / Moulin Rouge, La Goulue, 1891. Art Institute of Chicago, инв. № 1954.1193. </w:t>
      </w:r>
      <w:hyperlink r:id="rId9">
        <w:r>
          <w:rPr>
            <w:color w:val="175B83"/>
            <w:u w:val="single"/>
          </w:rPr>
          <w:t>Музейная карточка</w:t>
        </w:r>
      </w:hyperlink>
      <w:r>
        <w:t xml:space="preserve"> · </w:t>
      </w:r>
      <w:hyperlink r:id="rId10">
        <w:r>
          <w:rPr>
            <w:color w:val="175B83"/>
            <w:u w:val="single"/>
          </w:rPr>
          <w:t>API каталога</w:t>
        </w:r>
      </w:hyperlink>
    </w:p>
    <w:p>
      <w:r>
        <w:t xml:space="preserve">«Аристид Брюан в своём кабаре» / Aristide Bruant, in His Cabaret, 1893. Art Institute of Chicago, инв. № 1949.1005. </w:t>
      </w:r>
      <w:hyperlink r:id="rId23">
        <w:r>
          <w:rPr>
            <w:color w:val="175B83"/>
            <w:u w:val="single"/>
          </w:rPr>
          <w:t>Музейная карточка</w:t>
        </w:r>
      </w:hyperlink>
      <w:r>
        <w:t xml:space="preserve"> · </w:t>
      </w:r>
      <w:hyperlink r:id="rId24">
        <w:r>
          <w:rPr>
            <w:color w:val="175B83"/>
            <w:u w:val="single"/>
          </w:rPr>
          <w:t>API каталога</w:t>
        </w:r>
      </w:hyperlink>
    </w:p>
    <w:p>
      <w:r>
        <w:t xml:space="preserve">«Японский диван» / Divan Japonais, 1893. Art Institute of Chicago, инв. № 1949.1002. </w:t>
      </w:r>
      <w:hyperlink r:id="rId11">
        <w:r>
          <w:rPr>
            <w:color w:val="175B83"/>
            <w:u w:val="single"/>
          </w:rPr>
          <w:t>Музейная карточка</w:t>
        </w:r>
      </w:hyperlink>
      <w:r>
        <w:t xml:space="preserve"> · </w:t>
      </w:r>
      <w:hyperlink r:id="rId12">
        <w:r>
          <w:rPr>
            <w:color w:val="175B83"/>
            <w:u w:val="single"/>
          </w:rPr>
          <w:t>API каталога</w:t>
        </w:r>
      </w:hyperlink>
    </w:p>
    <w:p>
      <w:r>
        <w:t xml:space="preserve">«Фотограф Сеско» / The Photographer Sescau, 1894. Art Institute of Chicago, инв. № 1959.549. </w:t>
      </w:r>
      <w:hyperlink r:id="rId41">
        <w:r>
          <w:rPr>
            <w:color w:val="175B83"/>
            <w:u w:val="single"/>
          </w:rPr>
          <w:t>Музейная карточка</w:t>
        </w:r>
      </w:hyperlink>
      <w:r>
        <w:t xml:space="preserve"> · </w:t>
      </w:r>
      <w:hyperlink r:id="rId42">
        <w:r>
          <w:rPr>
            <w:color w:val="175B83"/>
            <w:u w:val="single"/>
          </w:rPr>
          <w:t>API каталога</w:t>
        </w:r>
      </w:hyperlink>
    </w:p>
    <w:p>
      <w:r>
        <w:br w:type="page"/>
      </w:r>
    </w:p>
    <w:p>
      <w:pPr>
        <w:pStyle w:val="Heading1"/>
      </w:pPr>
      <w:r>
        <w:t>18. Цвет: не раскраска, а устройство композиции</w:t>
      </w:r>
    </w:p>
    <w:p>
      <w:pPr>
        <w:pStyle w:val="Heading2"/>
      </w:pPr>
      <w:r>
        <w:t>На слайд</w:t>
      </w:r>
    </w:p>
    <w:p>
      <w:pPr>
        <w:pStyle w:val="ListBullet"/>
      </w:pPr>
      <w:r>
        <w:t>Крупное пятно, контраст и незапечатанная бумага.</w:t>
      </w:r>
    </w:p>
    <w:p>
      <w:pPr>
        <w:pStyle w:val="ListBullet"/>
      </w:pPr>
      <w:r>
        <w:t>Плоскостной цвет может сочетаться со штрихом и набрызгом.</w:t>
      </w:r>
    </w:p>
    <w:p>
      <w:pPr>
        <w:pStyle w:val="ListBullet"/>
      </w:pPr>
      <w:r>
        <w:t>«Мисс Лои Фуллер» — сравнительный пример экспериментальной литографии.</w:t>
      </w:r>
    </w:p>
    <w:p>
      <w:pPr>
        <w:pStyle w:val="Heading2"/>
      </w:pPr>
      <w:r>
        <w:t>Текст выступления</w:t>
      </w:r>
    </w:p>
    <w:p>
      <w:r>
        <w:t>Цвет у Лотрека прежде всего организует внимание. Красный шарф Брюана, красное платье Бельфор и синее поле афиши Милтон действуют по-разному, но в каждом случае помогают выделить главное. Незакрашенная бумага также участвует в композиции: она может становиться светлым участком фигуры или активным промежутком между формами.</w:t>
      </w:r>
    </w:p>
    <w:p>
      <w:r>
        <w:t>Ограниченность палитры нельзя объяснять только экономией печати. Она даёт композиционную ясность, а сложные цветные литографии показывают, что художник мог стремиться и к тонким фактурным эффектам.</w:t>
      </w:r>
    </w:p>
    <w:p>
      <w:r>
        <w:t>В качестве дополнительного примера можно показать «Мисс Лои Фуллер». Это художественная литография, а не афиша с рекламной надписью. В её вариантах цвет и фактура помогают передать текучее движение сценических тканей и эффект освещения. Включение этого листа позволяет увидеть экспериментальные возможности Лотрека, но его нельзя без пояснения смешивать с корпусом рекламных плакатов. Характеристику конкретных красок и отделки нужно брать из записи выбранного оттиска.</w:t>
      </w:r>
    </w:p>
    <w:p>
      <w:pPr>
        <w:pStyle w:val="Heading2"/>
      </w:pPr>
      <w:r>
        <w:t>Произведения и музейные источники</w:t>
      </w:r>
    </w:p>
    <w:p>
      <w:r>
        <w:t xml:space="preserve">«Мэй Бельфор» / May Belfort, 1895. Art Institute of Chicago, инв. № 1949.1007. </w:t>
      </w:r>
      <w:hyperlink r:id="rId31">
        <w:r>
          <w:rPr>
            <w:color w:val="175B83"/>
            <w:u w:val="single"/>
          </w:rPr>
          <w:t>Музейная карточка</w:t>
        </w:r>
      </w:hyperlink>
      <w:r>
        <w:t xml:space="preserve"> · </w:t>
      </w:r>
      <w:hyperlink r:id="rId32">
        <w:r>
          <w:rPr>
            <w:color w:val="175B83"/>
            <w:u w:val="single"/>
          </w:rPr>
          <w:t>API каталога</w:t>
        </w:r>
      </w:hyperlink>
    </w:p>
    <w:p>
      <w:r>
        <w:t xml:space="preserve">«Мэй Милтон» / May Milton, 1895. Art Institute of Chicago, инв. № 1948.451. </w:t>
      </w:r>
      <w:hyperlink r:id="rId33">
        <w:r>
          <w:rPr>
            <w:color w:val="175B83"/>
            <w:u w:val="single"/>
          </w:rPr>
          <w:t>Музейная карточка</w:t>
        </w:r>
      </w:hyperlink>
      <w:r>
        <w:t xml:space="preserve"> · </w:t>
      </w:r>
      <w:hyperlink r:id="rId34">
        <w:r>
          <w:rPr>
            <w:color w:val="175B83"/>
            <w:u w:val="single"/>
          </w:rPr>
          <w:t>API каталога</w:t>
        </w:r>
      </w:hyperlink>
    </w:p>
    <w:p>
      <w:r>
        <w:t xml:space="preserve">«Амбассадёр: Аристид Брюан» / Ambassadeurs: Aristide Bruant, 1892. Art Institute of Chicago, инв. № 1948.450. </w:t>
      </w:r>
      <w:hyperlink r:id="rId13">
        <w:r>
          <w:rPr>
            <w:color w:val="175B83"/>
            <w:u w:val="single"/>
          </w:rPr>
          <w:t>Музейная карточка</w:t>
        </w:r>
      </w:hyperlink>
      <w:r>
        <w:t xml:space="preserve"> · </w:t>
      </w:r>
      <w:hyperlink r:id="rId14">
        <w:r>
          <w:rPr>
            <w:color w:val="175B83"/>
            <w:u w:val="single"/>
          </w:rPr>
          <w:t>API каталога</w:t>
        </w:r>
      </w:hyperlink>
    </w:p>
    <w:p>
      <w:r>
        <w:t xml:space="preserve">«Мисс Лои Фуллер» / Miss Loïe Fuller, 1893. Art Institute of Chicago, инв. № 1931.451. </w:t>
      </w:r>
      <w:hyperlink r:id="rId43">
        <w:r>
          <w:rPr>
            <w:color w:val="175B83"/>
            <w:u w:val="single"/>
          </w:rPr>
          <w:t>Музейная карточка</w:t>
        </w:r>
      </w:hyperlink>
      <w:r>
        <w:t xml:space="preserve"> · </w:t>
      </w:r>
      <w:hyperlink r:id="rId44">
        <w:r>
          <w:rPr>
            <w:color w:val="175B83"/>
            <w:u w:val="single"/>
          </w:rPr>
          <w:t>API каталога</w:t>
        </w:r>
      </w:hyperlink>
    </w:p>
    <w:p>
      <w:r>
        <w:t>Отдельная художественная литография; сравнительный пример, не рекламная афиша.</w:t>
      </w:r>
    </w:p>
    <w:p>
      <w:r>
        <w:br w:type="page"/>
      </w:r>
    </w:p>
    <w:p>
      <w:pPr>
        <w:pStyle w:val="Heading1"/>
      </w:pPr>
      <w:r>
        <w:t>19. Что изменил Лотрек в языке плаката</w:t>
      </w:r>
    </w:p>
    <w:p>
      <w:pPr>
        <w:pStyle w:val="Heading2"/>
      </w:pPr>
      <w:r>
        <w:t>На слайд</w:t>
      </w:r>
    </w:p>
    <w:p>
      <w:pPr>
        <w:pStyle w:val="ListBullet"/>
      </w:pPr>
      <w:r>
        <w:t>Индивидуальность передаётся через характерный жест и атрибут.</w:t>
      </w:r>
    </w:p>
    <w:p>
      <w:pPr>
        <w:pStyle w:val="ListBullet"/>
      </w:pPr>
      <w:r>
        <w:t>Текст и изображение становятся единой композицией.</w:t>
      </w:r>
    </w:p>
    <w:p>
      <w:pPr>
        <w:pStyle w:val="ListBullet"/>
      </w:pPr>
      <w:r>
        <w:t>Городской сюжет переводится в лаконичную и выразительную форму.</w:t>
      </w:r>
    </w:p>
    <w:p>
      <w:pPr>
        <w:pStyle w:val="Heading2"/>
      </w:pPr>
      <w:r>
        <w:t>Текст выступления</w:t>
      </w:r>
    </w:p>
    <w:p>
      <w:r>
        <w:t>Лотрек не изобрёл ни плакат, ни цветную литографию: до него уже существовала развитая культура художественной афиши, в том числе работы Жюля Шере. Его вклад следует определять точнее.</w:t>
      </w:r>
    </w:p>
    <w:p>
      <w:r>
        <w:t>Он показал, насколько выразительным может быть отбор нескольких признаков конкретного человека: перчаток, шарфа, силуэта или характерного изгиба тела. Он активно использовал обрезку, большие цветовые массы и неравновесную на первый взгляд композицию, превращая их в средства ясного рекламного сообщения. Наконец, надпись у него стала полноценным участником изображения.</w:t>
      </w:r>
    </w:p>
    <w:p>
      <w:r>
        <w:t>В этих плакатах соединяются наблюдательность рисовальщика и расчёт художника, работающего для публичного пространства. Благодаря этому афиши сохраняют индивидуальность изображённых людей и одновременно действуют на расстоянии. Именно взаимодействие сюжета, шрифта и цвета делает его плакатную графику важной для истории искусства и для понимания дальнейшего развития визуальной коммуникации.</w:t>
      </w:r>
    </w:p>
    <w:p>
      <w:pPr>
        <w:pStyle w:val="Heading2"/>
      </w:pPr>
      <w:r>
        <w:t>Произведения и музейные источники</w:t>
      </w:r>
    </w:p>
    <w:p>
      <w:r>
        <w:t xml:space="preserve">«Мулен Руж. Ла Гулю» / Moulin Rouge, La Goulue, 1891. Art Institute of Chicago, инв. № 1954.1193. </w:t>
      </w:r>
      <w:hyperlink r:id="rId9">
        <w:r>
          <w:rPr>
            <w:color w:val="175B83"/>
            <w:u w:val="single"/>
          </w:rPr>
          <w:t>Музейная карточка</w:t>
        </w:r>
      </w:hyperlink>
      <w:r>
        <w:t xml:space="preserve"> · </w:t>
      </w:r>
      <w:hyperlink r:id="rId10">
        <w:r>
          <w:rPr>
            <w:color w:val="175B83"/>
            <w:u w:val="single"/>
          </w:rPr>
          <w:t>API каталога</w:t>
        </w:r>
      </w:hyperlink>
    </w:p>
    <w:p>
      <w:r>
        <w:t xml:space="preserve">«Жанна Авриль» / Jane Avril, 1893. Art Institute of Chicago, инв. № 1949.1004. </w:t>
      </w:r>
      <w:hyperlink r:id="rId25">
        <w:r>
          <w:rPr>
            <w:color w:val="175B83"/>
            <w:u w:val="single"/>
          </w:rPr>
          <w:t>Музейная карточка</w:t>
        </w:r>
      </w:hyperlink>
      <w:r>
        <w:t xml:space="preserve"> · </w:t>
      </w:r>
      <w:hyperlink r:id="rId26">
        <w:r>
          <w:rPr>
            <w:color w:val="175B83"/>
            <w:u w:val="single"/>
          </w:rPr>
          <w:t>API каталога</w:t>
        </w:r>
      </w:hyperlink>
    </w:p>
    <w:p>
      <w:r>
        <w:t xml:space="preserve">«Японский диван» / Divan Japonais, 1893. Art Institute of Chicago, инв. № 1949.1002. </w:t>
      </w:r>
      <w:hyperlink r:id="rId11">
        <w:r>
          <w:rPr>
            <w:color w:val="175B83"/>
            <w:u w:val="single"/>
          </w:rPr>
          <w:t>Музейная карточка</w:t>
        </w:r>
      </w:hyperlink>
      <w:r>
        <w:t xml:space="preserve"> · </w:t>
      </w:r>
      <w:hyperlink r:id="rId12">
        <w:r>
          <w:rPr>
            <w:color w:val="175B83"/>
            <w:u w:val="single"/>
          </w:rPr>
          <w:t>API каталога</w:t>
        </w:r>
      </w:hyperlink>
    </w:p>
    <w:p>
      <w:r>
        <w:br w:type="page"/>
      </w:r>
    </w:p>
    <w:p>
      <w:pPr>
        <w:pStyle w:val="Heading1"/>
      </w:pPr>
      <w:r>
        <w:t>20. Источники и подписи к изображениям</w:t>
      </w:r>
    </w:p>
    <w:p>
      <w:pPr>
        <w:pStyle w:val="Heading2"/>
      </w:pPr>
      <w:r>
        <w:t>На слайд</w:t>
      </w:r>
    </w:p>
    <w:p>
      <w:pPr>
        <w:pStyle w:val="ListBullet"/>
      </w:pPr>
      <w:r>
        <w:t>Для каждого листа: автор, название, дата, техника, музей и инвентарный номер.</w:t>
      </w:r>
    </w:p>
    <w:p>
      <w:pPr>
        <w:pStyle w:val="ListBullet"/>
      </w:pPr>
      <w:r>
        <w:t>Показывать весь лист; детали увеличивать отдельно.</w:t>
      </w:r>
    </w:p>
    <w:p>
      <w:pPr>
        <w:pStyle w:val="ListBullet"/>
      </w:pPr>
      <w:r>
        <w:t>Различать афишу, обложку, самостоятельную литографию и пробный оттиск.</w:t>
      </w:r>
    </w:p>
    <w:p>
      <w:pPr>
        <w:pStyle w:val="Heading2"/>
      </w:pPr>
      <w:r>
        <w:t>Текст выступления</w:t>
      </w:r>
    </w:p>
    <w:p>
      <w:r>
        <w:t>Основой для идентификации произведений послужил открытый каталог Art Institute of Chicago; для сопоставления использованы открытые данные National Gallery of Art. В каталоге к презентации у каждой работы приведены её оригинальное название, инвентарный номер и ссылка на музейную карточку.</w:t>
      </w:r>
    </w:p>
    <w:p>
      <w:r>
        <w:t>При переносе изображений на слайды следует показывать весь лист, сохраняя надписи и поля: они являются частью композиции. Для разговора о фактуре или буквах можно добавить отдельное увеличение, обозначив его как деталь. Не стоит усиливать цвет фильтрами или заменять качественную музейную репродукцию поздней декоративной перепечаткой.</w:t>
      </w:r>
    </w:p>
    <w:p>
      <w:r>
        <w:t>Для дальнейшего изучения важны каталог-резоне Вольфганга Виттрока «Toulouse-Lautrec: The Complete Prints» и выставочный каталог «Toulouse-Lautrec and Montmartre». Они включены в список дополнительной литературы; это не означает, что их полные тексты были доступны при подготовке данного материала.</w:t>
      </w:r>
    </w:p>
    <w:p>
      <w:r>
        <w:br w:type="page"/>
      </w:r>
    </w:p>
    <w:p>
      <w:pPr>
        <w:pStyle w:val="Heading1"/>
      </w:pPr>
      <w:r>
        <w:t>Источники и дополнительная литература</w:t>
      </w:r>
    </w:p>
    <w:p>
      <w:hyperlink r:id="rId45">
        <w:r>
          <w:rPr>
            <w:color w:val="175B83"/>
            <w:u w:val="single"/>
          </w:rPr>
          <w:t>Art Institute of Chicago. Официальный открытый каталог: названия, авторство и инвентарные номера</w:t>
        </w:r>
      </w:hyperlink>
    </w:p>
    <w:p>
      <w:r>
        <w:t>Использована официальная выгрузка getting-started/allArtworks.jsonl; индивидуальные карточки и API указаны у каждой работы.</w:t>
      </w:r>
    </w:p>
    <w:p>
      <w:hyperlink r:id="rId46">
        <w:r>
          <w:rPr>
            <w:color w:val="175B83"/>
            <w:u w:val="single"/>
          </w:rPr>
          <w:t>Art Institute of Chicago. Выгрузка произведений</w:t>
        </w:r>
      </w:hyperlink>
    </w:p>
    <w:p>
      <w:r>
        <w:t>Фактически прочитанная каталожная выгрузка. Она не содержит полных музейных аннотаций и репродукций.</w:t>
      </w:r>
    </w:p>
    <w:p>
      <w:hyperlink r:id="rId47">
        <w:r>
          <w:rPr>
            <w:color w:val="175B83"/>
            <w:u w:val="single"/>
          </w:rPr>
          <w:t>National Gallery of Art. Официальные открытые данные</w:t>
        </w:r>
      </w:hyperlink>
    </w:p>
    <w:p>
      <w:r>
        <w:t>Прочитаны таблицы objects.csv, published_images.csv, objects_text_entries.csv. Сверены записи Jane Avril, 1899, объект 42691, и May Milton, 1895, объект 208348; библиографические записи использованы для списка дополнительной литературы.</w:t>
      </w:r>
    </w:p>
    <w:p>
      <w:hyperlink r:id="rId48">
        <w:r>
          <w:rPr>
            <w:color w:val="175B83"/>
            <w:u w:val="single"/>
          </w:rPr>
          <w:t>National Gallery of Art. Jane Avril, 1899</w:t>
        </w:r>
      </w:hyperlink>
    </w:p>
    <w:p>
      <w:r>
        <w:t>Дополнительная каталожная запись: цветная плакатная литография.</w:t>
      </w:r>
    </w:p>
    <w:p>
      <w:hyperlink r:id="rId49">
        <w:r>
          <w:rPr>
            <w:color w:val="175B83"/>
            <w:u w:val="single"/>
          </w:rPr>
          <w:t>National Gallery of Art. May Milton, 1895</w:t>
        </w:r>
      </w:hyperlink>
    </w:p>
    <w:p>
      <w:r>
        <w:t>Дополнительная каталожная запись: литография на веленевой бумаге.</w:t>
      </w:r>
    </w:p>
    <w:p>
      <w:pPr>
        <w:pStyle w:val="ListBullet"/>
      </w:pPr>
      <w:r>
        <w:t>Wittrock, Wolfgang. Toulouse-Lautrec: The Complete Prints. 2 vols. London and New York, 1985. Каталог-резоне печатной графики; запись присутствует в библиографии NGA.</w:t>
      </w:r>
    </w:p>
    <w:p>
      <w:pPr>
        <w:pStyle w:val="ListBullet"/>
      </w:pPr>
      <w:r>
        <w:t>Toulouse-Lautrec and Montmartre. Выставочный каталог. National Gallery of Art, Washington, 2005. Указан в выставочной истории выбранных работ NGA. Полный текст при подготовке не просматривался.</w:t>
      </w:r>
    </w:p>
    <w:p>
      <w:pPr>
        <w:pStyle w:val="Heading1"/>
      </w:pPr>
      <w:r>
        <w:t>Термины</w:t>
      </w:r>
    </w:p>
    <w:p>
      <w:r>
        <w:rPr>
          <w:b/>
        </w:rPr>
        <w:t xml:space="preserve">Цветная литография. </w:t>
      </w:r>
      <w:r>
        <w:t>Плоская печать, при которой разные краски печатаются последовательно с отдельных форм. Она допускает и крупные цветовые массы, и свободный характер рисованной линии.</w:t>
      </w:r>
    </w:p>
    <w:p>
      <w:r>
        <w:rPr>
          <w:b/>
        </w:rPr>
        <w:t xml:space="preserve">Crachis — набрызг. </w:t>
      </w:r>
      <w:r>
        <w:t>Способ получения зернистого тона посредством набрызга литографского материала на печатную форму. Не следует путать его с цифровым шумом репродукции.</w:t>
      </w:r>
    </w:p>
    <w:p>
      <w:r>
        <w:rPr>
          <w:b/>
        </w:rPr>
        <w:t xml:space="preserve">Силуэт. </w:t>
      </w:r>
      <w:r>
        <w:t>Обобщённое очертание и цельная масса фигуры. В плакате помогает узнавать образ на расстоянии, когда мелкие детали ещё неразличимы.</w:t>
      </w:r>
    </w:p>
    <w:p>
      <w:r>
        <w:rPr>
          <w:b/>
        </w:rPr>
        <w:t xml:space="preserve">Кадрирование. </w:t>
      </w:r>
      <w:r>
        <w:t>Выбор границ изображения. Обрезанные фигуры и предметы могут создавать эффект близкого взгляда и продолжения пространства за краями листа.</w:t>
      </w:r>
    </w:p>
    <w:p>
      <w:r>
        <w:rPr>
          <w:b/>
        </w:rPr>
        <w:t xml:space="preserve">Японизм. </w:t>
      </w:r>
      <w:r>
        <w:t>Усвоение европейскими художниками принципов японского искусства; в данном случае важны асимметрия, плоские цветовые участки и необычное кадрирование. Это не просто изображение японских предметов.</w:t>
      </w:r>
    </w:p>
    <w:p>
      <w:r>
        <w:rPr>
          <w:b/>
        </w:rPr>
        <w:t xml:space="preserve">Оттиск и состояние. </w:t>
      </w:r>
      <w:r>
        <w:t>Оттиск — отдельный экземпляр печати. Состояние обозначает этап изменения печатной формы. Пробный лист без текста, окончательная афиша и поздняя перепечатка не всегда взаимозаменяемы.</w:t>
      </w:r>
    </w:p>
    <w:p>
      <w:pPr>
        <w:pStyle w:val="Heading1"/>
      </w:pPr>
      <w:r>
        <w:t>Возможные вопросы преподавателя</w:t>
      </w:r>
    </w:p>
    <w:p>
      <w:pPr>
        <w:pStyle w:val="Heading2"/>
      </w:pPr>
      <w:r>
        <w:t>Почему Лотрек связан и с постимпрессионизмом, и с модерном?</w:t>
      </w:r>
    </w:p>
    <w:p>
      <w:r>
        <w:t>Это разные способы классификации его работы. С постимпрессионизмом его связывают историческое положение и самостоятельный выразительный язык после импрессионизма; с графикой модерна — активный контур, плоскостность и единство надписи с изображением. Однако ярлык стиля не заменяет анализ конкретного листа.</w:t>
      </w:r>
    </w:p>
    <w:p>
      <w:pPr>
        <w:pStyle w:val="Heading2"/>
      </w:pPr>
      <w:r>
        <w:t>Чем его афиши отличаются от плакатов Мухи?</w:t>
      </w:r>
    </w:p>
    <w:p>
      <w:r>
        <w:t>Как аналитическое сопоставление: в известных афишах Мухи часто важны идеализированная фигура, декоративная рамка и орнаментальная целостность. У Лотрека сильнее проявляются узнаваемость конкретного исполнителя, сценический жест, резкое кадрирование и гротеск. Это не абсолютное противопоставление всех произведений двух художников.</w:t>
      </w:r>
    </w:p>
    <w:p>
      <w:pPr>
        <w:pStyle w:val="Heading2"/>
      </w:pPr>
      <w:r>
        <w:t>Лотрек первым сделал плакат искусством?</w:t>
      </w:r>
    </w:p>
    <w:p>
      <w:r>
        <w:t>Нет. Художественная афиша развивалась до него; среди важнейших предшественников — Жюль Шере. Значение Лотрека — в конкретном развитии её языка: индивидуальный сценический образ, выразительное кадрирование и тесная связь слова с рисунком.</w:t>
      </w:r>
    </w:p>
    <w:p>
      <w:pPr>
        <w:pStyle w:val="Heading2"/>
      </w:pPr>
      <w:r>
        <w:t>Почему не стоит искать точную современную гарнитуру?</w:t>
      </w:r>
    </w:p>
    <w:p>
      <w:r>
        <w:t>Многие надписи выполнены как часть рисунка и не соответствуют одному наборному шрифту. Научно точнее описать пропорции, контраст штрихов, наличие засечек, форму окончания, ритм и размещение букв, чем без доказательств присваивать им современное название.</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rtic.edu/artworks/82287" TargetMode="External"/><Relationship Id="rId10" Type="http://schemas.openxmlformats.org/officeDocument/2006/relationships/hyperlink" Target="https://api.artic.edu/api/v1/artworks/82287" TargetMode="External"/><Relationship Id="rId11" Type="http://schemas.openxmlformats.org/officeDocument/2006/relationships/hyperlink" Target="https://www.artic.edu/artworks/67166" TargetMode="External"/><Relationship Id="rId12" Type="http://schemas.openxmlformats.org/officeDocument/2006/relationships/hyperlink" Target="https://api.artic.edu/api/v1/artworks/67166" TargetMode="External"/><Relationship Id="rId13" Type="http://schemas.openxmlformats.org/officeDocument/2006/relationships/hyperlink" Target="https://www.artic.edu/artworks/63620" TargetMode="External"/><Relationship Id="rId14" Type="http://schemas.openxmlformats.org/officeDocument/2006/relationships/hyperlink" Target="https://api.artic.edu/api/v1/artworks/63620" TargetMode="External"/><Relationship Id="rId15" Type="http://schemas.openxmlformats.org/officeDocument/2006/relationships/hyperlink" Target="https://www.artic.edu/artworks/13606" TargetMode="External"/><Relationship Id="rId16" Type="http://schemas.openxmlformats.org/officeDocument/2006/relationships/hyperlink" Target="https://api.artic.edu/api/v1/artworks/13606" TargetMode="External"/><Relationship Id="rId17" Type="http://schemas.openxmlformats.org/officeDocument/2006/relationships/hyperlink" Target="https://www.artic.edu/artworks/180664" TargetMode="External"/><Relationship Id="rId18" Type="http://schemas.openxmlformats.org/officeDocument/2006/relationships/hyperlink" Target="https://api.artic.edu/api/v1/artworks/180664" TargetMode="External"/><Relationship Id="rId19" Type="http://schemas.openxmlformats.org/officeDocument/2006/relationships/hyperlink" Target="https://www.artic.edu/artworks/13620" TargetMode="External"/><Relationship Id="rId20" Type="http://schemas.openxmlformats.org/officeDocument/2006/relationships/hyperlink" Target="https://api.artic.edu/api/v1/artworks/13620" TargetMode="External"/><Relationship Id="rId21" Type="http://schemas.openxmlformats.org/officeDocument/2006/relationships/hyperlink" Target="https://www.artic.edu/artworks/67194" TargetMode="External"/><Relationship Id="rId22" Type="http://schemas.openxmlformats.org/officeDocument/2006/relationships/hyperlink" Target="https://api.artic.edu/api/v1/artworks/67194" TargetMode="External"/><Relationship Id="rId23" Type="http://schemas.openxmlformats.org/officeDocument/2006/relationships/hyperlink" Target="https://www.artic.edu/artworks/67172" TargetMode="External"/><Relationship Id="rId24" Type="http://schemas.openxmlformats.org/officeDocument/2006/relationships/hyperlink" Target="https://api.artic.edu/api/v1/artworks/67172" TargetMode="External"/><Relationship Id="rId25" Type="http://schemas.openxmlformats.org/officeDocument/2006/relationships/hyperlink" Target="https://www.artic.edu/artworks/67170" TargetMode="External"/><Relationship Id="rId26" Type="http://schemas.openxmlformats.org/officeDocument/2006/relationships/hyperlink" Target="https://api.artic.edu/api/v1/artworks/67170" TargetMode="External"/><Relationship Id="rId27" Type="http://schemas.openxmlformats.org/officeDocument/2006/relationships/hyperlink" Target="https://www.artic.edu/artworks/67181" TargetMode="External"/><Relationship Id="rId28" Type="http://schemas.openxmlformats.org/officeDocument/2006/relationships/hyperlink" Target="https://api.artic.edu/api/v1/artworks/67181" TargetMode="External"/><Relationship Id="rId29" Type="http://schemas.openxmlformats.org/officeDocument/2006/relationships/hyperlink" Target="https://www.artic.edu/artworks/110647" TargetMode="External"/><Relationship Id="rId30" Type="http://schemas.openxmlformats.org/officeDocument/2006/relationships/hyperlink" Target="https://api.artic.edu/api/v1/artworks/110647" TargetMode="External"/><Relationship Id="rId31" Type="http://schemas.openxmlformats.org/officeDocument/2006/relationships/hyperlink" Target="https://www.artic.edu/artworks/67177" TargetMode="External"/><Relationship Id="rId32" Type="http://schemas.openxmlformats.org/officeDocument/2006/relationships/hyperlink" Target="https://api.artic.edu/api/v1/artworks/67177" TargetMode="External"/><Relationship Id="rId33" Type="http://schemas.openxmlformats.org/officeDocument/2006/relationships/hyperlink" Target="https://www.artic.edu/artworks/63622" TargetMode="External"/><Relationship Id="rId34" Type="http://schemas.openxmlformats.org/officeDocument/2006/relationships/hyperlink" Target="https://api.artic.edu/api/v1/artworks/63622" TargetMode="External"/><Relationship Id="rId35" Type="http://schemas.openxmlformats.org/officeDocument/2006/relationships/hyperlink" Target="https://www.artic.edu/artworks/63616" TargetMode="External"/><Relationship Id="rId36" Type="http://schemas.openxmlformats.org/officeDocument/2006/relationships/hyperlink" Target="https://api.artic.edu/api/v1/artworks/63616" TargetMode="External"/><Relationship Id="rId37" Type="http://schemas.openxmlformats.org/officeDocument/2006/relationships/hyperlink" Target="https://www.artic.edu/artworks/67175" TargetMode="External"/><Relationship Id="rId38" Type="http://schemas.openxmlformats.org/officeDocument/2006/relationships/hyperlink" Target="https://api.artic.edu/api/v1/artworks/67175" TargetMode="External"/><Relationship Id="rId39" Type="http://schemas.openxmlformats.org/officeDocument/2006/relationships/hyperlink" Target="https://www.artic.edu/artworks/13602" TargetMode="External"/><Relationship Id="rId40" Type="http://schemas.openxmlformats.org/officeDocument/2006/relationships/hyperlink" Target="https://api.artic.edu/api/v1/artworks/13602" TargetMode="External"/><Relationship Id="rId41" Type="http://schemas.openxmlformats.org/officeDocument/2006/relationships/hyperlink" Target="https://www.artic.edu/artworks/11136" TargetMode="External"/><Relationship Id="rId42" Type="http://schemas.openxmlformats.org/officeDocument/2006/relationships/hyperlink" Target="https://api.artic.edu/api/v1/artworks/11136" TargetMode="External"/><Relationship Id="rId43" Type="http://schemas.openxmlformats.org/officeDocument/2006/relationships/hyperlink" Target="https://www.artic.edu/artworks/8807" TargetMode="External"/><Relationship Id="rId44" Type="http://schemas.openxmlformats.org/officeDocument/2006/relationships/hyperlink" Target="https://api.artic.edu/api/v1/artworks/8807" TargetMode="External"/><Relationship Id="rId45" Type="http://schemas.openxmlformats.org/officeDocument/2006/relationships/hyperlink" Target="https://github.com/art-institute-of-chicago/api-data" TargetMode="External"/><Relationship Id="rId46" Type="http://schemas.openxmlformats.org/officeDocument/2006/relationships/hyperlink" Target="https://raw.githubusercontent.com/art-institute-of-chicago/api-data/master/getting-started/allArtworks.jsonl" TargetMode="External"/><Relationship Id="rId47" Type="http://schemas.openxmlformats.org/officeDocument/2006/relationships/hyperlink" Target="https://github.com/NationalGalleryOfArt/opendata" TargetMode="External"/><Relationship Id="rId48" Type="http://schemas.openxmlformats.org/officeDocument/2006/relationships/hyperlink" Target="https://www.nga.gov/collection/art-object-page.42691.html" TargetMode="External"/><Relationship Id="rId49" Type="http://schemas.openxmlformats.org/officeDocument/2006/relationships/hyperlink" Target="https://www.nga.gov/collection/art-object-page.20834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Плакатная графика Анри де Тулуз-Лотрека: сюжеты, шрифт, цвет</dc:title>
  <dc:subject>Текст выступления, анализ 18 произведений, музейные источники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