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34"/>
        <w:gridCol w:w="3400"/>
        <w:gridCol w:w="4195"/>
        <w:gridCol w:w="2856"/>
        <w:gridCol w:w="1970"/>
      </w:tblGrid>
      <w:tr>
        <w:trPr>
          <w:cantSplit/>
          <w:trHeight w:val="620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1. Low (0-15,000 EUR)</w:t>
              <w:br/>
              <w:t xml:space="preserve">(N=40)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2. Middle (15,000-45,000 EUR)</w:t>
              <w:br/>
              <w:t xml:space="preserve">(N=55)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3. High (45,000+)</w:t>
              <w:br/>
              <w:t xml:space="preserve">(N=43)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(N=138)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300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(2.5%)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(0.7%)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(7.5%)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(12.7%)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(7.0%)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13 (9.4%)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36 (90.0%)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48 (87.3%)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40 (93.0%)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124 (89.9%)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500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(7.5%)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(2.2%)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 (15.0%)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14 (25.5%)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(16.3%)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27 (19.6%)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31 (77.5%)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41 (74.5%)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36 (83.7%)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108 (78.3%)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800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 (15.0%)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(2.3%)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(5.1%)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12 (30.0%)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24 (43.6%)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15 (34.9%)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51 (37.0%)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22 (55.0%)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31 (56.4%)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27 (62.8%)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80 (58.0%)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2022-05-04T15:21:23Z</dcterms:modified>
  <cp:category/>
</cp:coreProperties>
</file>