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17"/>
        <w:gridCol w:w="2288"/>
        <w:gridCol w:w="2447"/>
        <w:gridCol w:w="1847"/>
      </w:tblGrid>
      <w:tr>
        <w:trPr>
          <w:cantSplit/>
          <w:trHeight w:val="618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Less than 20</w:t>
              <w:br/>
              <w:t xml:space="preserve">(N=3)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More than 20</w:t>
              <w:br/>
              <w:t xml:space="preserve">(N=10)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(N=13)</w:t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Weekly hour reduction (UBI = EUR 300)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10-20%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(33.3%)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 (60.0%)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 (53.8%)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20-30%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 (66.7%)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 (20.0%)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 (30.8%)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50%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 (20.0%)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 (15.4%)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2022-05-04T14:30:58Z</dcterms:modified>
  <cp:category/>
</cp:coreProperties>
</file>