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17"/>
        <w:gridCol w:w="2410"/>
        <w:gridCol w:w="2447"/>
        <w:gridCol w:w="1847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Less than 20</w:t>
              <w:br/>
              <w:t xml:space="preserve">(N=11)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More than 20</w:t>
              <w:br/>
              <w:t xml:space="preserve">(N=33)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(N=44)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Weekly hour reduction (UBI = EUR 800)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10-20%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 (36.4%)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 (27.3%)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(29.5%)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20-30%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17 (51.5%)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19 (43.2%)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30-40%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(3.0%)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(6.8%)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50%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(15.2%)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 (18.2%)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40-50%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(3.0%)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(2.3%)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2022-05-04T14:39:04Z</dcterms:modified>
  <cp:category/>
</cp:coreProperties>
</file>