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34"/>
        <w:gridCol w:w="1487"/>
        <w:gridCol w:w="1487"/>
        <w:gridCol w:w="1970"/>
      </w:tblGrid>
      <w:tr>
        <w:trPr>
          <w:cantSplit/>
          <w:trHeight w:val="618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</w:t>
              <w:br/>
              <w:t xml:space="preserve">(N=73)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</w:t>
              <w:br/>
              <w:t xml:space="preserve">(N=65)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(N=138)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Behavior with monthly UBI = EUR 300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Stop working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(1.5%)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(0.7%)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less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10 (13.7%)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(4.6%)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13 (9.4%)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the same amount as now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63 (86.3%)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61 (93.8%)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124 (89.9%)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Behavior with monthly UBI = EUR 500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Stop working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 (3.1%)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(2.2%)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less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21 (28.8%)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 (9.2%)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27 (19.6%)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the same amount as now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51 (69.9%)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57 (87.7%)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108 (78.3%)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Behavior with monthly UBI = EUR 800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Stop working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 (5.5%)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(4.6%)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 (5.1%)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less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37 (50.7%)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14 (21.5%)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51 (37.0%)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the same amount as now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32 (43.8%)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48 (73.8%)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80 (58.0%)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2022-04-28T16:27:55Z</dcterms:modified>
  <cp:category/>
</cp:coreProperties>
</file>