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34"/>
        <w:gridCol w:w="1487"/>
        <w:gridCol w:w="148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</w:t>
              <w:br/>
              <w:t xml:space="preserve">(N=73)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</w:t>
              <w:br/>
              <w:t xml:space="preserve">(N=65)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300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 (13.7%)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(9.4%)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63 (86.3%)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61 (93.8%)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124 (89.9%)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500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 (3.1%)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21 (28.8%)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27 (19.6%)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(69.9%)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(87.7%)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108 (78.3%)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Behavior with monthly UBI = EUR 800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Stop working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 (5.5%)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(4.6%)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less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37 (50.7%)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(21.5%)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51 (37.0%)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Work the same amount as now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32 (43.8%)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48 (73.8%)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(58.0%)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2022-04-28T16:28:08Z</dcterms:modified>
  <cp:category/>
</cp:coreProperties>
</file>