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Чек-лист Стандартных сайтов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Адаптивность верстки, в css файле должен быть @media и\или flexbox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Кроссбраузерность, сайт корректно отображается в разных браузерах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Права, на изображение и медиа контента, работа со стоками. Всегда проверить на авторские права. Данный контент не должен нарушать авторские права.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 авторизация: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наличии “Политики конфин-ти”, “чекбокс”, “согласие на обработку персональных данных” и т. д.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 РКН: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сайта на сайте Роскомнадзора (Особенно на Трансграничные передачи данных).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Google Analytics: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 коде (HTML)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 DevTools (отправка данных на сервер)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