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single" w:color="EDF2F7" w:sz="2"/>
              <w:right w:val="none"/>
            </w:tcBorders>
            <w:shd w:fill="F7FAFC" w:val="clear"/>
            <w:tcMar>
              <w:top w:type="dxa" w:w="80"/>
              <w:left w:type="dxa" w:w="140"/>
              <w:bottom w:type="dxa" w:w="80"/>
              <w:right w:type="dxa" w:w="140"/>
            </w:tcMar>
          </w:tcPr>
          <w:p>
            <w:r>
              <w:rPr>
                <w:rFonts w:ascii="Calibri" w:cs="Calibri" w:eastAsia="Calibri" w:hAnsi="Calibri"/>
                <w:b/>
                <w:bCs/>
                <w:color w:val="0E1C33"/>
                <w:sz w:val="20"/>
                <w:szCs w:val="20"/>
              </w:rPr>
              <w:t xml:space="preserve">De</w:t>
            </w:r>
          </w:p>
        </w:tc>
        <w:tc>
          <w:tcPr>
            <w:tcW w:type="dxa" w:w="7560"/>
            <w:tcBorders>
              <w:top w:val="none"/>
              <w:left w:val="none"/>
              <w:bottom w:val="single" w:color="EDF2F7" w:sz="2"/>
              <w:right w:val="none"/>
            </w:tcBorders>
            <w:tcMar>
              <w:top w:type="dxa" w:w="80"/>
              <w:left w:type="dxa" w:w="140"/>
              <w:bottom w:type="dxa" w:w="80"/>
              <w:right w:type="dxa" w:w="140"/>
            </w:tcMar>
          </w:tcPr>
          <w:p>
            <w:r>
              <w:rPr>
                <w:rFonts w:ascii="Calibri" w:cs="Calibri" w:eastAsia="Calibri" w:hAnsi="Calibri"/>
                <w:color w:val="222222"/>
                <w:sz w:val="22"/>
                <w:szCs w:val="22"/>
              </w:rPr>
              <w:t xml:space="preserve">Marc Lambert &lt;m.lambert@logifast.fr&gt;</w:t>
            </w:r>
          </w:p>
        </w:tc>
      </w:tr>
      <w:tr>
        <w:tc>
          <w:tcPr>
            <w:tcW w:type="dxa" w:w="1800"/>
            <w:tcBorders>
              <w:top w:val="none"/>
              <w:left w:val="none"/>
              <w:bottom w:val="single" w:color="EDF2F7" w:sz="2"/>
              <w:right w:val="none"/>
            </w:tcBorders>
            <w:shd w:fill="F7FAFC" w:val="clear"/>
            <w:tcMar>
              <w:top w:type="dxa" w:w="80"/>
              <w:left w:type="dxa" w:w="140"/>
              <w:bottom w:type="dxa" w:w="80"/>
              <w:right w:type="dxa" w:w="140"/>
            </w:tcMar>
          </w:tcPr>
          <w:p>
            <w:r>
              <w:rPr>
                <w:rFonts w:ascii="Calibri" w:cs="Calibri" w:eastAsia="Calibri" w:hAnsi="Calibri"/>
                <w:b/>
                <w:bCs/>
                <w:color w:val="0E1C33"/>
                <w:sz w:val="20"/>
                <w:szCs w:val="20"/>
              </w:rPr>
              <w:t xml:space="preserve">À</w:t>
            </w:r>
          </w:p>
        </w:tc>
        <w:tc>
          <w:tcPr>
            <w:tcW w:type="dxa" w:w="7560"/>
            <w:tcBorders>
              <w:top w:val="none"/>
              <w:left w:val="none"/>
              <w:bottom w:val="single" w:color="EDF2F7" w:sz="2"/>
              <w:right w:val="none"/>
            </w:tcBorders>
            <w:tcMar>
              <w:top w:type="dxa" w:w="80"/>
              <w:left w:type="dxa" w:w="140"/>
              <w:bottom w:type="dxa" w:w="80"/>
              <w:right w:type="dxa" w:w="140"/>
            </w:tcMar>
          </w:tcPr>
          <w:p>
            <w:r>
              <w:rPr>
                <w:rFonts w:ascii="Calibri" w:cs="Calibri" w:eastAsia="Calibri" w:hAnsi="Calibri"/>
                <w:color w:val="222222"/>
                <w:sz w:val="22"/>
                <w:szCs w:val="22"/>
              </w:rPr>
              <w:t xml:space="preserve">Pôle Cadrage Data — Utopios</w:t>
            </w:r>
          </w:p>
        </w:tc>
      </w:tr>
      <w:tr>
        <w:tc>
          <w:tcPr>
            <w:tcW w:type="dxa" w:w="1800"/>
            <w:tcBorders>
              <w:top w:val="none"/>
              <w:left w:val="none"/>
              <w:bottom w:val="single" w:color="EDF2F7" w:sz="2"/>
              <w:right w:val="none"/>
            </w:tcBorders>
            <w:shd w:fill="F7FAFC" w:val="clear"/>
            <w:tcMar>
              <w:top w:type="dxa" w:w="80"/>
              <w:left w:type="dxa" w:w="140"/>
              <w:bottom w:type="dxa" w:w="80"/>
              <w:right w:type="dxa" w:w="140"/>
            </w:tcMar>
          </w:tcPr>
          <w:p>
            <w:r>
              <w:rPr>
                <w:rFonts w:ascii="Calibri" w:cs="Calibri" w:eastAsia="Calibri" w:hAnsi="Calibri"/>
                <w:b/>
                <w:bCs/>
                <w:color w:val="0E1C33"/>
                <w:sz w:val="20"/>
                <w:szCs w:val="20"/>
              </w:rPr>
              <w:t xml:space="preserve">Date</w:t>
            </w:r>
          </w:p>
        </w:tc>
        <w:tc>
          <w:tcPr>
            <w:tcW w:type="dxa" w:w="7560"/>
            <w:tcBorders>
              <w:top w:val="none"/>
              <w:left w:val="none"/>
              <w:bottom w:val="single" w:color="EDF2F7" w:sz="2"/>
              <w:right w:val="none"/>
            </w:tcBorders>
            <w:tcMar>
              <w:top w:type="dxa" w:w="80"/>
              <w:left w:type="dxa" w:w="140"/>
              <w:bottom w:type="dxa" w:w="80"/>
              <w:right w:type="dxa" w:w="140"/>
            </w:tcMar>
          </w:tcPr>
          <w:p>
            <w:r>
              <w:rPr>
                <w:rFonts w:ascii="Calibri" w:cs="Calibri" w:eastAsia="Calibri" w:hAnsi="Calibri"/>
                <w:color w:val="222222"/>
                <w:sz w:val="22"/>
                <w:szCs w:val="22"/>
              </w:rPr>
              <w:t xml:space="preserve">Lundi 14 avril 2025, 08:47</w:t>
            </w:r>
          </w:p>
        </w:tc>
      </w:tr>
      <w:tr>
        <w:tc>
          <w:tcPr>
            <w:tcW w:type="dxa" w:w="1800"/>
            <w:tcBorders>
              <w:top w:val="none"/>
              <w:left w:val="none"/>
              <w:bottom w:val="single" w:color="EDF2F7" w:sz="2"/>
              <w:right w:val="none"/>
            </w:tcBorders>
            <w:shd w:fill="F7FAFC" w:val="clear"/>
            <w:tcMar>
              <w:top w:type="dxa" w:w="80"/>
              <w:left w:type="dxa" w:w="140"/>
              <w:bottom w:type="dxa" w:w="80"/>
              <w:right w:type="dxa" w:w="140"/>
            </w:tcMar>
          </w:tcPr>
          <w:p>
            <w:r>
              <w:rPr>
                <w:rFonts w:ascii="Calibri" w:cs="Calibri" w:eastAsia="Calibri" w:hAnsi="Calibri"/>
                <w:b/>
                <w:bCs/>
                <w:color w:val="0E1C33"/>
                <w:sz w:val="20"/>
                <w:szCs w:val="20"/>
              </w:rPr>
              <w:t xml:space="preserve">Objet</w:t>
            </w:r>
          </w:p>
        </w:tc>
        <w:tc>
          <w:tcPr>
            <w:tcW w:type="dxa" w:w="7560"/>
            <w:tcBorders>
              <w:top w:val="none"/>
              <w:left w:val="none"/>
              <w:bottom w:val="single" w:color="EDF2F7" w:sz="2"/>
              <w:right w:val="none"/>
            </w:tcBorders>
            <w:tcMar>
              <w:top w:type="dxa" w:w="80"/>
              <w:left w:type="dxa" w:w="140"/>
              <w:bottom w:type="dxa" w:w="80"/>
              <w:right w:type="dxa" w:w="140"/>
            </w:tcMar>
          </w:tcPr>
          <w:p>
            <w:r>
              <w:rPr>
                <w:rFonts w:ascii="Calibri" w:cs="Calibri" w:eastAsia="Calibri" w:hAnsi="Calibri"/>
                <w:color w:val="222222"/>
                <w:sz w:val="22"/>
                <w:szCs w:val="22"/>
              </w:rPr>
              <w:t xml:space="preserve">Projet « Tournées intelligentes » — on lance ?</w:t>
            </w:r>
          </w:p>
        </w:tc>
      </w:tr>
      <w:tr>
        <w:tc>
          <w:tcPr>
            <w:tcW w:type="dxa" w:w="1800"/>
            <w:tcBorders>
              <w:top w:val="none"/>
              <w:left w:val="none"/>
              <w:bottom w:val="single" w:color="EDF2F7" w:sz="2"/>
              <w:right w:val="none"/>
            </w:tcBorders>
            <w:shd w:fill="F7FAFC" w:val="clear"/>
            <w:tcMar>
              <w:top w:type="dxa" w:w="80"/>
              <w:left w:type="dxa" w:w="140"/>
              <w:bottom w:type="dxa" w:w="80"/>
              <w:right w:type="dxa" w:w="140"/>
            </w:tcMar>
          </w:tcPr>
          <w:p>
            <w:r>
              <w:rPr>
                <w:rFonts w:ascii="Calibri" w:cs="Calibri" w:eastAsia="Calibri" w:hAnsi="Calibri"/>
                <w:b/>
                <w:bCs/>
                <w:color w:val="0E1C33"/>
                <w:sz w:val="20"/>
                <w:szCs w:val="20"/>
              </w:rPr>
              <w:t xml:space="preserve">Pièces jointes</w:t>
            </w:r>
          </w:p>
        </w:tc>
        <w:tc>
          <w:tcPr>
            <w:tcW w:type="dxa" w:w="7560"/>
            <w:tcBorders>
              <w:top w:val="none"/>
              <w:left w:val="none"/>
              <w:bottom w:val="single" w:color="EDF2F7" w:sz="2"/>
              <w:right w:val="none"/>
            </w:tcBorders>
            <w:tcMar>
              <w:top w:type="dxa" w:w="80"/>
              <w:left w:type="dxa" w:w="140"/>
              <w:bottom w:type="dxa" w:w="80"/>
              <w:right w:type="dxa" w:w="140"/>
            </w:tcMar>
          </w:tcPr>
          <w:p>
            <w:r>
              <w:rPr>
                <w:rFonts w:ascii="Calibri" w:cs="Calibri" w:eastAsia="Calibri" w:hAnsi="Calibri"/>
                <w:color w:val="222222"/>
                <w:sz w:val="22"/>
                <w:szCs w:val="22"/>
              </w:rPr>
              <w:t xml:space="preserve">Aucune</w:t>
            </w:r>
          </w:p>
        </w:tc>
      </w:tr>
    </w:tbl>
    <w:p>
      <w:pPr>
        <w:spacing w:after="100" w:before="80" w:line="320"/>
        <w:jc w:val="both"/>
      </w:pPr>
      <w:r>
        <w:rPr>
          <w:rFonts w:ascii="Calibri" w:cs="Calibri" w:eastAsia="Calibri" w:hAnsi="Calibri"/>
          <w:color w:val="222222"/>
          <w:sz w:val="22"/>
          <w:szCs w:val="22"/>
        </w:rPr>
        <w:t xml:space="preserve"/>
      </w:r>
    </w:p>
    <w:p>
      <w:pPr>
        <w:spacing w:after="100" w:before="80" w:line="320"/>
        <w:jc w:val="both"/>
      </w:pPr>
      <w:r>
        <w:rPr>
          <w:rFonts w:ascii="Calibri" w:cs="Calibri" w:eastAsia="Calibri" w:hAnsi="Calibri"/>
          <w:color w:val="222222"/>
          <w:sz w:val="22"/>
          <w:szCs w:val="22"/>
        </w:rPr>
        <w:t xml:space="preserve">Bonjour,</w:t>
      </w:r>
    </w:p>
    <w:p>
      <w:pPr>
        <w:spacing w:after="100" w:before="80" w:line="320"/>
        <w:jc w:val="both"/>
      </w:pPr>
      <w:r>
        <w:rPr>
          <w:rFonts w:ascii="Calibri" w:cs="Calibri" w:eastAsia="Calibri" w:hAnsi="Calibri"/>
          <w:color w:val="222222"/>
          <w:sz w:val="22"/>
          <w:szCs w:val="22"/>
        </w:rPr>
        <w:t xml:space="preserve">Je vous écris suite à l'introduction faite par votre commerciale la semaine dernière. Je suis directeur des opérations chez Logifast, et nous avons un sujet pour lequel nous cherchons un partenaire data. Je vais essayer d'être clair et concis dans ce mail pour qu'on parte vite.</w:t>
      </w:r>
    </w:p>
    <w:p>
      <w:pPr>
        <w:spacing w:after="120" w:before="280"/>
      </w:pPr>
      <w:r>
        <w:rPr>
          <w:rFonts w:ascii="Calibri" w:cs="Calibri" w:eastAsia="Calibri" w:hAnsi="Calibri"/>
          <w:b/>
          <w:bCs/>
          <w:color w:val="0E1C33"/>
          <w:sz w:val="24"/>
          <w:szCs w:val="24"/>
        </w:rPr>
        <w:t xml:space="preserve">Qui nous sommes</w:t>
      </w:r>
    </w:p>
    <w:p>
      <w:pPr>
        <w:spacing w:after="100" w:before="80" w:line="320"/>
        <w:jc w:val="both"/>
      </w:pPr>
      <w:r>
        <w:rPr>
          <w:rFonts w:ascii="Calibri" w:cs="Calibri" w:eastAsia="Calibri" w:hAnsi="Calibri"/>
          <w:color w:val="222222"/>
          <w:sz w:val="22"/>
          <w:szCs w:val="22"/>
        </w:rPr>
        <w:t xml:space="preserve">Logifast est un opérateur de logistique du dernier kilomètre pour le e-commerce français. Concrètement, nous prenons en charge la livraison des colis à domicile pour des marchands moyens — pas Amazon, mais une centaine d'enseignes type Cdiscount, Conforama, Zalando, etc. Nous opérons depuis 12 dépôts régionaux (Île-de-France, Lyon, Marseille, Bordeaux, Lille, Nantes, Rennes, Strasbourg, Toulouse, Montpellier, Nancy, Tours), avec environ 380 chauffeurs-livreurs salariés. Nous traitons 1,2 million de colis par mois et nous faisons à peu près 95 M€ de CA.</w:t>
      </w:r>
    </w:p>
    <w:p>
      <w:pPr>
        <w:spacing w:after="120" w:before="280"/>
      </w:pPr>
      <w:r>
        <w:rPr>
          <w:rFonts w:ascii="Calibri" w:cs="Calibri" w:eastAsia="Calibri" w:hAnsi="Calibri"/>
          <w:b/>
          <w:bCs/>
          <w:color w:val="0E1C33"/>
          <w:sz w:val="24"/>
          <w:szCs w:val="24"/>
        </w:rPr>
        <w:t xml:space="preserve">Le problème</w:t>
      </w:r>
    </w:p>
    <w:p>
      <w:pPr>
        <w:spacing w:after="100" w:before="80" w:line="320"/>
        <w:jc w:val="both"/>
      </w:pPr>
      <w:r>
        <w:rPr>
          <w:rFonts w:ascii="Calibri" w:cs="Calibri" w:eastAsia="Calibri" w:hAnsi="Calibri"/>
          <w:color w:val="222222"/>
          <w:sz w:val="22"/>
          <w:szCs w:val="22"/>
        </w:rPr>
        <w:t xml:space="preserve">Notre coût opérationnel par colis livré a augmenté de 18 % sur les 12 derniers mois, alors que le volume reste stable. Le carburant n'explique qu'une partie de la dérive. Quand on regarde dans le détail, on s'aperçoit que :</w:t>
      </w:r>
    </w:p>
    <w:p>
      <w:pPr>
        <w:spacing w:after="100" w:before="80" w:line="320"/>
        <w:jc w:val="both"/>
      </w:pPr>
      <w:r>
        <w:rPr>
          <w:rFonts w:ascii="Calibri" w:cs="Calibri" w:eastAsia="Calibri" w:hAnsi="Calibri"/>
          <w:color w:val="222222"/>
          <w:sz w:val="22"/>
          <w:szCs w:val="22"/>
        </w:rPr>
        <w:t xml:space="preserve">— Les tournées sont planifiées le matin, manuellement, par les chefs d'exploitation de chaque dépôt. Ils utilisent un outil interne (TourneoFast) développé en 2018 qui ne tient pas compte des conditions de trafic réelles, des fenêtres horaires que demandent désormais 40 % de nos clients (créneau de 2h), ni de la fatigue des chauffeurs en fin de journée.</w:t>
      </w:r>
    </w:p>
    <w:p>
      <w:pPr>
        <w:spacing w:after="100" w:before="80" w:line="320"/>
        <w:jc w:val="both"/>
      </w:pPr>
      <w:r>
        <w:rPr>
          <w:rFonts w:ascii="Calibri" w:cs="Calibri" w:eastAsia="Calibri" w:hAnsi="Calibri"/>
          <w:color w:val="222222"/>
          <w:sz w:val="22"/>
          <w:szCs w:val="22"/>
        </w:rPr>
        <w:t xml:space="preserve">— Résultat : 22 % des tournées dépassent leur durée prévue, on a des pics d'heures sup non maîtrisés, et notre NPS chauffeurs est passé de +12 à -8 en 18 mois. Trois chefs d'exploitation m'ont écrit un courrier collectif fin mars pour dire qu'ils n'arrivaient plus à tenir.</w:t>
      </w:r>
    </w:p>
    <w:p>
      <w:pPr>
        <w:spacing w:after="120" w:before="280"/>
      </w:pPr>
      <w:r>
        <w:rPr>
          <w:rFonts w:ascii="Calibri" w:cs="Calibri" w:eastAsia="Calibri" w:hAnsi="Calibri"/>
          <w:b/>
          <w:bCs/>
          <w:color w:val="0E1C33"/>
          <w:sz w:val="24"/>
          <w:szCs w:val="24"/>
        </w:rPr>
        <w:t xml:space="preserve">Ce qu'on voudrait</w:t>
      </w:r>
    </w:p>
    <w:p>
      <w:pPr>
        <w:spacing w:after="100" w:before="80" w:line="320"/>
        <w:jc w:val="both"/>
      </w:pPr>
      <w:r>
        <w:rPr>
          <w:rFonts w:ascii="Calibri" w:cs="Calibri" w:eastAsia="Calibri" w:hAnsi="Calibri"/>
          <w:color w:val="222222"/>
          <w:sz w:val="22"/>
          <w:szCs w:val="22"/>
        </w:rPr>
        <w:t xml:space="preserve">Un système intelligent qui aide les chefs d'exploitation à construire les tournées — pas pour les remplacer, parce que la connaissance terrain reste importante, mais pour leur proposer des séquencements optimisés en intégrant : l'historique réel des durées par segment, le trafic prévisionnel (on a accès à TomTom et Google Traffic via API), les fenêtres horaires des clients, les contraintes des chauffeurs (volume du véhicule, secteur d'habitude, expérience).</w:t>
      </w:r>
    </w:p>
    <w:p>
      <w:pPr>
        <w:spacing w:after="100" w:before="80" w:line="320"/>
        <w:jc w:val="both"/>
      </w:pPr>
      <w:r>
        <w:rPr>
          <w:rFonts w:ascii="Calibri" w:cs="Calibri" w:eastAsia="Calibri" w:hAnsi="Calibri"/>
          <w:color w:val="222222"/>
          <w:sz w:val="22"/>
          <w:szCs w:val="22"/>
        </w:rPr>
        <w:t xml:space="preserve">On viserait une réduction de 8 à 12 % du temps total de tournée, et une diminution équivalente du dépassement horaire. Si on y arrive, ça représente quelque chose comme 1,8 à 2,5 M€ de marge récupérée par an, plus l'effet sur le NPS chauffeurs et le turnover.</w:t>
      </w:r>
    </w:p>
    <w:p>
      <w:pPr>
        <w:spacing w:after="120" w:before="280"/>
      </w:pPr>
      <w:r>
        <w:rPr>
          <w:rFonts w:ascii="Calibri" w:cs="Calibri" w:eastAsia="Calibri" w:hAnsi="Calibri"/>
          <w:b/>
          <w:bCs/>
          <w:color w:val="0E1C33"/>
          <w:sz w:val="24"/>
          <w:szCs w:val="24"/>
        </w:rPr>
        <w:t xml:space="preserve">Périmètre pilote</w:t>
      </w:r>
    </w:p>
    <w:p>
      <w:pPr>
        <w:spacing w:after="100" w:before="80" w:line="320"/>
        <w:jc w:val="both"/>
      </w:pPr>
      <w:r>
        <w:rPr>
          <w:rFonts w:ascii="Calibri" w:cs="Calibri" w:eastAsia="Calibri" w:hAnsi="Calibri"/>
          <w:color w:val="222222"/>
          <w:sz w:val="22"/>
          <w:szCs w:val="22"/>
        </w:rPr>
        <w:t xml:space="preserve">On commencerait par 3 dépôts pilotes : Lyon (gros volume, dépôt-laboratoire historique), Lille (chef d'exploitation moteur sur les sujets data, Patrick Royer) et Bordeaux (conditions de trafic complexes en zone urbaine dense). Soit environ 95 chauffeurs sur les 380, et 320 000 colis/mois sur 1,2 M.</w:t>
      </w:r>
    </w:p>
    <w:p>
      <w:pPr>
        <w:spacing w:after="120" w:before="280"/>
      </w:pPr>
      <w:r>
        <w:rPr>
          <w:rFonts w:ascii="Calibri" w:cs="Calibri" w:eastAsia="Calibri" w:hAnsi="Calibri"/>
          <w:b/>
          <w:bCs/>
          <w:color w:val="0E1C33"/>
          <w:sz w:val="24"/>
          <w:szCs w:val="24"/>
        </w:rPr>
        <w:t xml:space="preserve">Qui on est côté équipe</w:t>
      </w:r>
    </w:p>
    <w:p>
      <w:pPr>
        <w:spacing w:after="100" w:before="80" w:line="320"/>
        <w:jc w:val="both"/>
      </w:pPr>
      <w:r>
        <w:rPr>
          <w:rFonts w:ascii="Calibri" w:cs="Calibri" w:eastAsia="Calibri" w:hAnsi="Calibri"/>
          <w:color w:val="222222"/>
          <w:sz w:val="22"/>
          <w:szCs w:val="22"/>
        </w:rPr>
        <w:t xml:space="preserve">Vous aurez plusieurs interlocuteurs côté Logifast :</w:t>
      </w:r>
    </w:p>
    <w:p>
      <w:pPr>
        <w:spacing w:after="100" w:before="80" w:line="320"/>
        <w:jc w:val="both"/>
      </w:pPr>
      <w:r>
        <w:rPr>
          <w:rFonts w:ascii="Calibri" w:cs="Calibri" w:eastAsia="Calibri" w:hAnsi="Calibri"/>
          <w:color w:val="222222"/>
          <w:sz w:val="22"/>
          <w:szCs w:val="22"/>
        </w:rPr>
        <w:t xml:space="preserve">Yacine Ould, notre Lead Data, qui a structuré toute notre stack analytique (Snowflake + dbt + Tableau) ces deux dernières années. C'est lui votre point d'entrée technique. Il a 3 ans d'historique propre sur la donnée de tournée.</w:t>
      </w:r>
    </w:p>
    <w:p>
      <w:pPr>
        <w:spacing w:after="100" w:before="80" w:line="320"/>
        <w:jc w:val="both"/>
      </w:pPr>
      <w:r>
        <w:rPr>
          <w:rFonts w:ascii="Calibri" w:cs="Calibri" w:eastAsia="Calibri" w:hAnsi="Calibri"/>
          <w:color w:val="222222"/>
          <w:sz w:val="22"/>
          <w:szCs w:val="22"/>
        </w:rPr>
        <w:t xml:space="preserve">Élodie Marchal, Data Analyst, travaille avec Yacine et connaît le SI sur le bout des doigts — elle pourra extraire ce qu'il vous faut. Vous la verrez beaucoup.</w:t>
      </w:r>
    </w:p>
    <w:p>
      <w:pPr>
        <w:spacing w:after="100" w:before="80" w:line="320"/>
        <w:jc w:val="both"/>
      </w:pPr>
      <w:r>
        <w:rPr>
          <w:rFonts w:ascii="Calibri" w:cs="Calibri" w:eastAsia="Calibri" w:hAnsi="Calibri"/>
          <w:color w:val="222222"/>
          <w:sz w:val="22"/>
          <w:szCs w:val="22"/>
        </w:rPr>
        <w:t xml:space="preserve">Patrick Royer, responsable exploitation Lille, est un peu cynique parce qu'il a vu passer trois projets data ratés depuis 5 ans, mais c'est lui votre meilleur sponsor terrain s'il accepte de jouer le jeu.</w:t>
      </w:r>
    </w:p>
    <w:p>
      <w:pPr>
        <w:spacing w:after="100" w:before="80" w:line="320"/>
        <w:jc w:val="both"/>
      </w:pPr>
      <w:r>
        <w:rPr>
          <w:rFonts w:ascii="Calibri" w:cs="Calibri" w:eastAsia="Calibri" w:hAnsi="Calibri"/>
          <w:color w:val="222222"/>
          <w:sz w:val="22"/>
          <w:szCs w:val="22"/>
        </w:rPr>
        <w:t xml:space="preserve">Jamel Bensaïd, du CSE chauffeurs, devra être informé dès le début. Si on le met devant le fait accompli, on aura un préavis de grève en 2 semaines. Il est ouvert mais procédurier.</w:t>
      </w:r>
    </w:p>
    <w:p>
      <w:pPr>
        <w:spacing w:after="100" w:before="80" w:line="320"/>
        <w:jc w:val="both"/>
      </w:pPr>
      <w:r>
        <w:rPr>
          <w:rFonts w:ascii="Calibri" w:cs="Calibri" w:eastAsia="Calibri" w:hAnsi="Calibri"/>
          <w:color w:val="222222"/>
          <w:sz w:val="22"/>
          <w:szCs w:val="22"/>
        </w:rPr>
        <w:t xml:space="preserve">Côté DSI, Fabienne Toussaint validera l'architecture. Côté DPO, Hugues Vermeil suivra le sujet géolocalisation des chauffeurs — point sensible, je préfère vous le dire tout de suite.</w:t>
      </w:r>
    </w:p>
    <w:p>
      <w:pPr>
        <w:spacing w:after="100" w:before="80" w:line="320"/>
        <w:jc w:val="both"/>
      </w:pPr>
      <w:r>
        <w:rPr>
          <w:rFonts w:ascii="Calibri" w:cs="Calibri" w:eastAsia="Calibri" w:hAnsi="Calibri"/>
          <w:color w:val="222222"/>
          <w:sz w:val="22"/>
          <w:szCs w:val="22"/>
        </w:rPr>
        <w:t xml:space="preserve">Sylvie Granger, notre DG, attend des résultats visibles avant le COMEX investisseurs du 12 juin. C'est elle qui a débloqué le budget.</w:t>
      </w:r>
    </w:p>
    <w:p>
      <w:pPr>
        <w:spacing w:after="120" w:before="280"/>
      </w:pPr>
      <w:r>
        <w:rPr>
          <w:rFonts w:ascii="Calibri" w:cs="Calibri" w:eastAsia="Calibri" w:hAnsi="Calibri"/>
          <w:b/>
          <w:bCs/>
          <w:color w:val="0E1C33"/>
          <w:sz w:val="24"/>
          <w:szCs w:val="24"/>
        </w:rPr>
        <w:t xml:space="preserve">Données disponibles</w:t>
      </w:r>
    </w:p>
    <w:p>
      <w:pPr>
        <w:spacing w:after="100" w:before="80" w:line="320"/>
        <w:jc w:val="both"/>
      </w:pPr>
      <w:r>
        <w:rPr>
          <w:rFonts w:ascii="Calibri" w:cs="Calibri" w:eastAsia="Calibri" w:hAnsi="Calibri"/>
          <w:color w:val="222222"/>
          <w:sz w:val="22"/>
          <w:szCs w:val="22"/>
        </w:rPr>
        <w:t xml:space="preserve">Yacine vous fournira un état détaillé, mais en gros nous avons : 3 ans d'historique des tournées (départ, arrivée, séquence d'arrêts, durées réelles vs prévues) dans Snowflake ; les données chauffeurs (RH, expérience, secteur d'habitude, véhicule attribué) ; les données clients (adresse, fenêtre horaire demandée, type de colis) ; les flux temps réel TomTom et Google Maps via API ; un peu de données météo via Météo France.</w:t>
      </w:r>
    </w:p>
    <w:p>
      <w:pPr>
        <w:spacing w:after="120" w:before="280"/>
      </w:pPr>
      <w:r>
        <w:rPr>
          <w:rFonts w:ascii="Calibri" w:cs="Calibri" w:eastAsia="Calibri" w:hAnsi="Calibri"/>
          <w:b/>
          <w:bCs/>
          <w:color w:val="0E1C33"/>
          <w:sz w:val="24"/>
          <w:szCs w:val="24"/>
        </w:rPr>
        <w:t xml:space="preserve">Délais et budget</w:t>
      </w:r>
    </w:p>
    <w:p>
      <w:pPr>
        <w:spacing w:after="100" w:before="80" w:line="320"/>
        <w:jc w:val="both"/>
      </w:pPr>
      <w:r>
        <w:rPr>
          <w:rFonts w:ascii="Calibri" w:cs="Calibri" w:eastAsia="Calibri" w:hAnsi="Calibri"/>
          <w:color w:val="222222"/>
          <w:sz w:val="22"/>
          <w:szCs w:val="22"/>
        </w:rPr>
        <w:t xml:space="preserve">Phase 1 (cadrage + POC sur 1 dépôt) : 8 semaines, budget 75 k€ HT. Si POC concluant, phase 2 (déploiement 3 dépôts pilotes) : 4 mois, budget estimé 180 k€ HT. Phase 3 (généralisation 12 dépôts) : à discuter à mi-2026.</w:t>
      </w:r>
    </w:p>
    <w:p>
      <w:pPr>
        <w:spacing w:after="100" w:before="80" w:line="320"/>
        <w:jc w:val="both"/>
      </w:pPr>
      <w:r>
        <w:rPr>
          <w:rFonts w:ascii="Calibri" w:cs="Calibri" w:eastAsia="Calibri" w:hAnsi="Calibri"/>
          <w:color w:val="222222"/>
          <w:sz w:val="22"/>
          <w:szCs w:val="22"/>
        </w:rPr>
        <w:t xml:space="preserve">Pour info, il y a un point dur sur le calendrier : le COMEX investisseurs du 12 juin attend une démo. Donc 8 semaines à partir de maintenant, c'est non négociable côté Sylvie.</w:t>
      </w:r>
    </w:p>
    <w:p>
      <w:pPr>
        <w:spacing w:after="120" w:before="280"/>
      </w:pPr>
      <w:r>
        <w:rPr>
          <w:rFonts w:ascii="Calibri" w:cs="Calibri" w:eastAsia="Calibri" w:hAnsi="Calibri"/>
          <w:b/>
          <w:bCs/>
          <w:color w:val="0E1C33"/>
          <w:sz w:val="24"/>
          <w:szCs w:val="24"/>
        </w:rPr>
        <w:t xml:space="preserve">Points de vigilance</w:t>
      </w:r>
    </w:p>
    <w:p>
      <w:pPr>
        <w:spacing w:after="100" w:before="80" w:line="320"/>
        <w:jc w:val="both"/>
      </w:pPr>
      <w:r>
        <w:rPr>
          <w:rFonts w:ascii="Calibri" w:cs="Calibri" w:eastAsia="Calibri" w:hAnsi="Calibri"/>
          <w:color w:val="222222"/>
          <w:sz w:val="22"/>
          <w:szCs w:val="22"/>
        </w:rPr>
        <w:t xml:space="preserve">Trois sujets que je veux aborder dès le départ. Un : la géolocalisation des chauffeurs est une donnée RGPD très sensible, et le CSE est sur ses gardes. Hugues Vermeil (DPO) sera intransigeant. Deux : on ne veut pas un système qui décide à la place du chef d'exploitation — c'est un outil d'aide, pas un automate. Trois : l'outil doit s'intégrer à TourneoFast, pas le remplacer. Fabienne Toussaint (DSI) sera très claire sur ce point.</w:t>
      </w:r>
    </w:p>
    <w:p>
      <w:pPr>
        <w:spacing w:after="120" w:before="280"/>
      </w:pPr>
      <w:r>
        <w:rPr>
          <w:rFonts w:ascii="Calibri" w:cs="Calibri" w:eastAsia="Calibri" w:hAnsi="Calibri"/>
          <w:b/>
          <w:bCs/>
          <w:color w:val="0E1C33"/>
          <w:sz w:val="24"/>
          <w:szCs w:val="24"/>
        </w:rPr>
        <w:t xml:space="preserve">La suite</w:t>
      </w:r>
    </w:p>
    <w:p>
      <w:pPr>
        <w:spacing w:after="100" w:before="80" w:line="320"/>
        <w:jc w:val="both"/>
      </w:pPr>
      <w:r>
        <w:rPr>
          <w:rFonts w:ascii="Calibri" w:cs="Calibri" w:eastAsia="Calibri" w:hAnsi="Calibri"/>
          <w:color w:val="222222"/>
          <w:sz w:val="22"/>
          <w:szCs w:val="22"/>
        </w:rPr>
        <w:t xml:space="preserve">Je vous propose qu'on se voie cette semaine — j'ai des créneaux mercredi après-midi ou jeudi matin. Yacine et Élodie peuvent enchaîner derrière pour un atelier données. Patrick Royer peut nous rejoindre à Lille la semaine d'après si vous voulez voir le terrain.</w:t>
      </w:r>
    </w:p>
    <w:p>
      <w:pPr>
        <w:spacing w:after="100" w:before="80" w:line="320"/>
        <w:jc w:val="both"/>
      </w:pPr>
      <w:r>
        <w:rPr>
          <w:rFonts w:ascii="Calibri" w:cs="Calibri" w:eastAsia="Calibri" w:hAnsi="Calibri"/>
          <w:color w:val="222222"/>
          <w:sz w:val="22"/>
          <w:szCs w:val="22"/>
        </w:rPr>
        <w:t xml:space="preserve">Confirmez-moi la disponibilité et la fourchette tarifaire pour qu'on puisse cadrer rapidement.</w:t>
      </w:r>
    </w:p>
    <w:p>
      <w:pPr>
        <w:spacing w:after="100" w:before="80" w:line="320"/>
        <w:jc w:val="both"/>
      </w:pPr>
      <w:r>
        <w:rPr>
          <w:rFonts w:ascii="Calibri" w:cs="Calibri" w:eastAsia="Calibri" w:hAnsi="Calibri"/>
          <w:color w:val="222222"/>
          <w:sz w:val="22"/>
          <w:szCs w:val="22"/>
        </w:rPr>
        <w:t xml:space="preserve">Cordialement,</w:t>
      </w:r>
    </w:p>
    <w:p>
      <w:pPr>
        <w:spacing w:after="100" w:before="80" w:line="320"/>
        <w:jc w:val="both"/>
      </w:pPr>
      <w:r>
        <w:rPr>
          <w:rFonts w:ascii="Calibri" w:cs="Calibri" w:eastAsia="Calibri" w:hAnsi="Calibri"/>
          <w:color w:val="222222"/>
          <w:sz w:val="22"/>
          <w:szCs w:val="22"/>
        </w:rPr>
        <w:t xml:space="preserve"/>
      </w:r>
    </w:p>
    <w:p>
      <w:pPr>
        <w:spacing w:after="40" w:before="240"/>
      </w:pPr>
      <w:r>
        <w:rPr>
          <w:rFonts w:ascii="Calibri" w:cs="Calibri" w:eastAsia="Calibri" w:hAnsi="Calibri"/>
          <w:color w:val="A0AEC0"/>
          <w:sz w:val="18"/>
          <w:szCs w:val="18"/>
        </w:rPr>
        <w:t xml:space="preserve">—</w:t>
      </w:r>
    </w:p>
    <w:p>
      <w:pPr>
        <w:spacing w:after="40" w:before="40"/>
      </w:pPr>
      <w:r>
        <w:rPr>
          <w:rFonts w:ascii="Calibri" w:cs="Calibri" w:eastAsia="Calibri" w:hAnsi="Calibri"/>
          <w:b/>
          <w:bCs/>
          <w:color w:val="0E1C33"/>
          <w:sz w:val="20"/>
          <w:szCs w:val="20"/>
        </w:rPr>
        <w:t xml:space="preserve">Marc Lambert</w:t>
      </w:r>
    </w:p>
    <w:p>
      <w:pPr>
        <w:spacing w:after="40" w:before="40"/>
      </w:pPr>
      <w:r>
        <w:rPr>
          <w:rFonts w:ascii="Calibri" w:cs="Calibri" w:eastAsia="Calibri" w:hAnsi="Calibri"/>
          <w:color w:val="4A5568"/>
          <w:sz w:val="18"/>
          <w:szCs w:val="18"/>
        </w:rPr>
        <w:t xml:space="preserve">Directeur des Opérations — Logifast</w:t>
      </w:r>
    </w:p>
    <w:p>
      <w:pPr>
        <w:spacing w:after="40" w:before="40"/>
      </w:pPr>
      <w:r>
        <w:rPr>
          <w:rFonts w:ascii="Calibri" w:cs="Calibri" w:eastAsia="Calibri" w:hAnsi="Calibri"/>
          <w:color w:val="4A5568"/>
          <w:sz w:val="18"/>
          <w:szCs w:val="18"/>
        </w:rPr>
        <w:t xml:space="preserve">Parc Logistique du Val-de-Reuil, 27100 Le Vaudreuil</w:t>
      </w:r>
    </w:p>
    <w:p>
      <w:pPr>
        <w:spacing w:after="40" w:before="40"/>
      </w:pPr>
      <w:r>
        <w:rPr>
          <w:rFonts w:ascii="Calibri" w:cs="Calibri" w:eastAsia="Calibri" w:hAnsi="Calibri"/>
          <w:color w:val="4A5568"/>
          <w:sz w:val="18"/>
          <w:szCs w:val="18"/>
        </w:rPr>
        <w:t xml:space="preserve">06 XX XX XX XX  ·  m.lambert@logifast.fr</w:t>
      </w:r>
    </w:p>
    <w:sectPr>
      <w:footerReference w:type="default" r:id="rId7"/>
      <w:pgSz w:w="11906" w:h="16838" w:orient="portrait"/>
      <w:pgMar w:top="1008" w:right="1224" w:bottom="1008"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EEF" w:sz="6" w:space="4"/>
      </w:pBdr>
      <w:jc w:val="center"/>
    </w:pPr>
    <w:r>
      <w:rPr>
        <w:rFonts w:ascii="Calibri" w:cs="Calibri" w:eastAsia="Calibri" w:hAnsi="Calibri"/>
        <w:i/>
        <w:iCs/>
        <w:color w:val="4A5568"/>
        <w:sz w:val="16"/>
        <w:szCs w:val="16"/>
      </w:rPr>
      <w:t xml:space="preserve">Logifast — J1 matin · Source 01 · Mail brief  ·  </w:t>
    </w:r>
    <w:r>
      <w:rPr>
        <w:rFonts w:ascii="Calibri" w:cs="Calibri" w:eastAsia="Calibri" w:hAnsi="Calibri"/>
        <w:color w:val="4A5568"/>
        <w:sz w:val="16"/>
        <w:szCs w:val="16"/>
      </w:rPr>
      <w:t xml:space="preserve">Page </w:t>
      <w:fldChar w:fldCharType="begin"/>
      <w:instrText xml:space="preserve">PAGE</w:instrText>
      <w:fldChar w:fldCharType="separate"/>
      <w:fldChar w:fldCharType="end"/>
    </w:r>
    <w:r>
      <w:rPr>
        <w:rFonts w:ascii="Calibri" w:cs="Calibri" w:eastAsia="Calibri" w:hAnsi="Calibri"/>
        <w:color w:val="4A5568"/>
        <w:sz w:val="16"/>
        <w:szCs w:val="16"/>
      </w:rPr>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3DFD369A1AAC44894D14194C7688E9" ma:contentTypeVersion="11" ma:contentTypeDescription="Crée un document." ma:contentTypeScope="" ma:versionID="cf49c3de8148c8cc546756f07c645c21">
  <xsd:schema xmlns:xsd="http://www.w3.org/2001/XMLSchema" xmlns:xs="http://www.w3.org/2001/XMLSchema" xmlns:p="http://schemas.microsoft.com/office/2006/metadata/properties" xmlns:ns2="3c2bf3aa-a91c-4b6f-b8ca-d89e5279fe2a" xmlns:ns3="e425dd83-799c-4ff9-a9a6-f6a8064637e1" targetNamespace="http://schemas.microsoft.com/office/2006/metadata/properties" ma:root="true" ma:fieldsID="175034be094e24b6f4ed2934660117f3" ns2:_="" ns3:_="">
    <xsd:import namespace="3c2bf3aa-a91c-4b6f-b8ca-d89e5279fe2a"/>
    <xsd:import namespace="e425dd83-799c-4ff9-a9a6-f6a8064637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2bf3aa-a91c-4b6f-b8ca-d89e5279f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d4b6e4fd-4af2-4f07-b7d1-18266e58562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25dd83-799c-4ff9-a9a6-f6a8064637e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186b3eb-60d2-4154-b03c-a4c7679995e8}" ma:internalName="TaxCatchAll" ma:showField="CatchAllData" ma:web="e425dd83-799c-4ff9-a9a6-f6a8064637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c2bf3aa-a91c-4b6f-b8ca-d89e5279fe2a">
      <Terms xmlns="http://schemas.microsoft.com/office/infopath/2007/PartnerControls"/>
    </lcf76f155ced4ddcb4097134ff3c332f>
    <TaxCatchAll xmlns="e425dd83-799c-4ff9-a9a6-f6a8064637e1" xsi:nil="true"/>
  </documentManagement>
</p:properties>
</file>

<file path=customXml/itemProps1.xml><?xml version="1.0" encoding="utf-8"?>
<ds:datastoreItem xmlns:ds="http://schemas.openxmlformats.org/officeDocument/2006/customXml" ds:itemID="{C9054BEE-8CF4-4EA6-B1BE-DF7591CE128D}"/>
</file>

<file path=customXml/itemProps2.xml><?xml version="1.0" encoding="utf-8"?>
<ds:datastoreItem xmlns:ds="http://schemas.openxmlformats.org/officeDocument/2006/customXml" ds:itemID="{6F2AF9E0-B845-48D3-BA8F-9FB24ECF72B6}"/>
</file>

<file path=customXml/itemProps3.xml><?xml version="1.0" encoding="utf-8"?>
<ds:datastoreItem xmlns:ds="http://schemas.openxmlformats.org/officeDocument/2006/customXml" ds:itemID="{D708BA46-FB73-475C-96FA-4F022B9750D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Utopios — MA-IT Consulting</dc:creator>
  <cp:lastModifiedBy>Un-named</cp:lastModifiedBy>
  <cp:revision>1</cp:revision>
  <dcterms:created xsi:type="dcterms:W3CDTF">2026-05-10T14:20:27Z</dcterms:created>
  <dcterms:modified xsi:type="dcterms:W3CDTF">2026-05-10T14:20:27Z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0x010100913DFD369A1AAC44894D14194C7688E9</vt:lpwstr>
  </property>
</Properties>
</file>