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  <w:jc w:val="center"/>
      </w:pPr>
      <w:r>
        <w:rPr>
          <w:b/>
          <w:color w:val="00288E"/>
          <w:sz w:val="56"/>
        </w:rPr>
        <w:t>STRATÉGIE D'ACQUISITION</w:t>
        <w:br/>
        <w:t>ExpertERPHub 2026</w:t>
      </w:r>
    </w:p>
    <w:p>
      <w:pPr>
        <w:spacing w:after="400"/>
        <w:jc w:val="center"/>
      </w:pPr>
      <w:r>
        <w:rPr>
          <w:color w:val="0058BE"/>
          <w:sz w:val="28"/>
        </w:rPr>
        <w:t>Plateforme de Matching ERP</w:t>
        <w:br/>
        <w:t>Consultants &amp; Entreprises</w:t>
      </w:r>
    </w:p>
    <w:p>
      <w:pPr>
        <w:spacing w:after="800"/>
        <w:jc w:val="center"/>
      </w:pPr>
      <w:r>
        <w:rPr>
          <w:sz w:val="22"/>
        </w:rPr>
        <w:t>Date: 24/03/2026</w:t>
        <w:br/>
        <w:t>https://expertERPhub.com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color w:val="00288E"/>
          <w:sz w:val="36"/>
        </w:rPr>
        <w:t>TABLE DES MATIÈRES</w:t>
      </w:r>
    </w:p>
    <w:p>
      <w:pPr>
        <w:pStyle w:val="ListBullet"/>
        <w:spacing w:after="80"/>
      </w:pPr>
      <w:r>
        <w:rPr>
          <w:sz w:val="22"/>
        </w:rPr>
        <w:t>1. Résumé Exécutif</w:t>
      </w:r>
    </w:p>
    <w:p>
      <w:pPr>
        <w:pStyle w:val="ListBullet"/>
        <w:spacing w:after="80"/>
      </w:pPr>
      <w:r>
        <w:rPr>
          <w:sz w:val="22"/>
        </w:rPr>
        <w:t>2. Segmentation de l'Audience Cible</w:t>
      </w:r>
    </w:p>
    <w:p>
      <w:pPr>
        <w:pStyle w:val="ListBullet"/>
        <w:spacing w:after="80"/>
      </w:pPr>
      <w:r>
        <w:rPr>
          <w:sz w:val="22"/>
        </w:rPr>
        <w:t>3. Stratégie par Canal d'Acquisition</w:t>
      </w:r>
    </w:p>
    <w:p>
      <w:pPr>
        <w:pStyle w:val="ListBullet"/>
        <w:spacing w:after="80"/>
      </w:pPr>
      <w:r>
        <w:rPr>
          <w:sz w:val="22"/>
        </w:rPr>
        <w:t>4. Stratégie d'Acquisition des Consultants</w:t>
      </w:r>
    </w:p>
    <w:p>
      <w:pPr>
        <w:pStyle w:val="ListBullet"/>
        <w:spacing w:after="80"/>
      </w:pPr>
      <w:r>
        <w:rPr>
          <w:sz w:val="22"/>
        </w:rPr>
        <w:t>5. Stratégie d'Acquisition des Entreprises</w:t>
      </w:r>
    </w:p>
    <w:p>
      <w:pPr>
        <w:pStyle w:val="ListBullet"/>
        <w:spacing w:after="80"/>
      </w:pPr>
      <w:r>
        <w:rPr>
          <w:sz w:val="22"/>
        </w:rPr>
        <w:t>6. Plan de Lancement 90 Jours</w:t>
      </w:r>
    </w:p>
    <w:p>
      <w:pPr>
        <w:pStyle w:val="ListBullet"/>
        <w:spacing w:after="80"/>
      </w:pPr>
      <w:r>
        <w:rPr>
          <w:sz w:val="22"/>
        </w:rPr>
        <w:t>7. Budget d'Allocation par Canal</w:t>
      </w:r>
    </w:p>
    <w:p>
      <w:pPr>
        <w:pStyle w:val="ListBullet"/>
        <w:spacing w:after="80"/>
      </w:pPr>
      <w:r>
        <w:rPr>
          <w:sz w:val="22"/>
        </w:rPr>
        <w:t>8. KPIs et Métriques de Succès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color w:val="00288E"/>
          <w:sz w:val="36"/>
        </w:rPr>
        <w:t>1. Résumé Exécutif</w:t>
      </w:r>
    </w:p>
    <w:p/>
    <w:p>
      <w:pPr>
        <w:pStyle w:val="Heading2"/>
        <w:spacing w:before="240" w:after="120"/>
      </w:pPr>
      <w:r>
        <w:rPr>
          <w:b/>
          <w:color w:val="0058BE"/>
          <w:sz w:val="28"/>
        </w:rPr>
        <w:t>Objectifs 2026</w:t>
      </w:r>
    </w:p>
    <w:p>
      <w:pPr>
        <w:spacing w:after="120"/>
        <w:ind w:left="360"/>
      </w:pPr>
      <w:r>
        <w:rPr>
          <w:b w:val="0"/>
          <w:i w:val="0"/>
          <w:sz w:val="22"/>
        </w:rPr>
        <w:t>Acquisition Consultants: 500+ consultants certifiés ERP inscrits</w:t>
      </w:r>
    </w:p>
    <w:p>
      <w:pPr>
        <w:spacing w:after="120"/>
        <w:ind w:left="360"/>
      </w:pPr>
      <w:r>
        <w:rPr>
          <w:b w:val="0"/>
          <w:i w:val="0"/>
          <w:sz w:val="22"/>
        </w:rPr>
        <w:t>Acquisition Entreprises: 200+ entreprises (PME/ETI) abonnées</w:t>
      </w:r>
    </w:p>
    <w:p>
      <w:pPr>
        <w:spacing w:after="120"/>
        <w:ind w:left="360"/>
      </w:pPr>
      <w:r>
        <w:rPr>
          <w:b w:val="0"/>
          <w:i w:val="0"/>
          <w:sz w:val="22"/>
        </w:rPr>
        <w:t>Revenus Récurrents: €35K MRR (Monthly Recurring Revenue)</w:t>
      </w:r>
    </w:p>
    <w:p>
      <w:pPr>
        <w:spacing w:after="120"/>
        <w:ind w:left="360"/>
      </w:pPr>
      <w:r>
        <w:rPr>
          <w:b w:val="0"/>
          <w:i w:val="0"/>
          <w:sz w:val="22"/>
        </w:rPr>
        <w:t>Positionnement Marché: Leader francophone du matching ERP</w:t>
      </w:r>
    </w:p>
    <w:p>
      <w:pPr>
        <w:spacing w:after="120"/>
        <w:ind w:left="360"/>
      </w:pPr>
      <w:r>
        <w:rPr>
          <w:b w:val="0"/>
          <w:i w:val="0"/>
          <w:sz w:val="22"/>
        </w:rPr>
        <w:t>Engagement Utilisateurs: 40%+ active rate sur la plateforme</w:t>
      </w:r>
    </w:p>
    <w:p>
      <w:pPr>
        <w:pStyle w:val="Heading2"/>
        <w:spacing w:before="240" w:after="120"/>
      </w:pPr>
      <w:r>
        <w:rPr>
          <w:b/>
          <w:color w:val="0058BE"/>
          <w:sz w:val="28"/>
        </w:rPr>
        <w:t>Proposition de Valeur Clés</w:t>
      </w:r>
    </w:p>
    <w:p>
      <w:pPr>
        <w:pStyle w:val="ListBullet"/>
        <w:spacing w:after="80"/>
      </w:pPr>
      <w:r>
        <w:rPr>
          <w:sz w:val="22"/>
        </w:rPr>
        <w:t>Consultants pré-validés et certifiés (réduction des risques)</w:t>
      </w:r>
    </w:p>
    <w:p>
      <w:pPr>
        <w:pStyle w:val="ListBullet"/>
        <w:spacing w:after="80"/>
      </w:pPr>
      <w:r>
        <w:rPr>
          <w:sz w:val="22"/>
        </w:rPr>
        <w:t>Matching automatisé basé sur compétences/projets (gain de temps)</w:t>
      </w:r>
    </w:p>
    <w:p>
      <w:pPr>
        <w:pStyle w:val="ListBullet"/>
        <w:spacing w:after="80"/>
      </w:pPr>
      <w:r>
        <w:rPr>
          <w:sz w:val="22"/>
        </w:rPr>
        <w:t>Tarification transparente et équitable (confiance)</w:t>
      </w:r>
    </w:p>
    <w:p>
      <w:pPr>
        <w:pStyle w:val="ListBullet"/>
        <w:spacing w:after="80"/>
      </w:pPr>
      <w:r>
        <w:rPr>
          <w:sz w:val="22"/>
        </w:rPr>
        <w:t>Support multilingue FR/EN (expansion régionale)</w:t>
      </w:r>
    </w:p>
    <w:p>
      <w:pPr>
        <w:pStyle w:val="ListBullet"/>
        <w:spacing w:after="80"/>
      </w:pPr>
      <w:r>
        <w:rPr>
          <w:sz w:val="22"/>
        </w:rPr>
        <w:t>Tableau de bord dédié + messaging intégré (UX)</w:t>
      </w:r>
    </w:p>
    <w:p>
      <w:pPr>
        <w:pStyle w:val="ListBullet"/>
        <w:spacing w:after="80"/>
      </w:pPr>
      <w:r>
        <w:rPr>
          <w:sz w:val="22"/>
        </w:rPr>
        <w:t>Historique de projets et avis clients (crédibilité)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color w:val="00288E"/>
          <w:sz w:val="36"/>
        </w:rPr>
        <w:t>2. Segmentation de l'Audience Cible</w:t>
      </w:r>
    </w:p>
    <w:p>
      <w:pPr>
        <w:pStyle w:val="Heading2"/>
        <w:spacing w:before="240" w:after="120"/>
      </w:pPr>
      <w:r>
        <w:rPr>
          <w:b/>
          <w:color w:val="0058BE"/>
          <w:sz w:val="28"/>
        </w:rPr>
        <w:t>A. Consultants (Côté Offre)</w:t>
      </w:r>
    </w:p>
    <w:p/>
    <w:p>
      <w:pPr>
        <w:pStyle w:val="Heading3"/>
        <w:spacing w:before="240" w:after="120"/>
      </w:pPr>
      <w:r>
        <w:rPr>
          <w:b/>
          <w:color w:val="0058BE"/>
          <w:sz w:val="24"/>
        </w:rPr>
        <w:t>Freelances ERP Indépendants</w:t>
      </w:r>
    </w:p>
    <w:p>
      <w:pPr>
        <w:spacing w:after="120"/>
      </w:pPr>
      <w:r>
        <w:rPr>
          <w:b w:val="0"/>
          <w:i w:val="0"/>
          <w:sz w:val="22"/>
        </w:rPr>
        <w:t>Description: Consultants autonomes, 5-15 ans expérience</w:t>
      </w:r>
    </w:p>
    <w:p>
      <w:pPr>
        <w:spacing w:after="120"/>
      </w:pPr>
      <w:r>
        <w:rPr>
          <w:b w:val="0"/>
          <w:i w:val="0"/>
          <w:sz w:val="22"/>
        </w:rPr>
        <w:t>Taille Marché: ~60% du marché cible</w:t>
      </w:r>
    </w:p>
    <w:p>
      <w:pPr>
        <w:spacing w:after="120"/>
      </w:pPr>
      <w:r>
        <w:rPr>
          <w:b w:val="0"/>
          <w:i w:val="0"/>
          <w:sz w:val="22"/>
        </w:rPr>
        <w:t>Point Douleur: Trouver des clients régulièrement, crédibilité</w:t>
      </w:r>
    </w:p>
    <w:p>
      <w:pPr>
        <w:spacing w:after="120"/>
      </w:pPr>
      <w:r>
        <w:rPr>
          <w:b w:val="0"/>
          <w:i w:val="0"/>
          <w:sz w:val="22"/>
        </w:rPr>
        <w:t>Notre Solution: Profil public, avis clients, matching automatisé</w:t>
      </w:r>
    </w:p>
    <w:p/>
    <w:p>
      <w:pPr>
        <w:pStyle w:val="Heading3"/>
        <w:spacing w:before="240" w:after="120"/>
      </w:pPr>
      <w:r>
        <w:rPr>
          <w:b/>
          <w:color w:val="0058BE"/>
          <w:sz w:val="24"/>
        </w:rPr>
        <w:t>Petites Boutiques (2-5 consultants)</w:t>
      </w:r>
    </w:p>
    <w:p>
      <w:pPr>
        <w:spacing w:after="120"/>
      </w:pPr>
      <w:r>
        <w:rPr>
          <w:b w:val="0"/>
          <w:i w:val="0"/>
          <w:sz w:val="22"/>
        </w:rPr>
        <w:t>Description: Micro-cabinets, spécialistes SAP/Oracle</w:t>
      </w:r>
    </w:p>
    <w:p>
      <w:pPr>
        <w:spacing w:after="120"/>
      </w:pPr>
      <w:r>
        <w:rPr>
          <w:b w:val="0"/>
          <w:i w:val="0"/>
          <w:sz w:val="22"/>
        </w:rPr>
        <w:t>Taille Marché: ~25% du marché cible</w:t>
      </w:r>
    </w:p>
    <w:p>
      <w:pPr>
        <w:spacing w:after="120"/>
      </w:pPr>
      <w:r>
        <w:rPr>
          <w:b w:val="0"/>
          <w:i w:val="0"/>
          <w:sz w:val="22"/>
        </w:rPr>
        <w:t>Point Douleur: Visibilité commerciale limitée, lead gen coûteux</w:t>
      </w:r>
    </w:p>
    <w:p>
      <w:pPr>
        <w:spacing w:after="120"/>
      </w:pPr>
      <w:r>
        <w:rPr>
          <w:b w:val="0"/>
          <w:i w:val="0"/>
          <w:sz w:val="22"/>
        </w:rPr>
        <w:t>Notre Solution: Présence portfolio + lead pipeline qualifiés</w:t>
      </w:r>
    </w:p>
    <w:p/>
    <w:p>
      <w:pPr>
        <w:pStyle w:val="Heading3"/>
        <w:spacing w:before="240" w:after="120"/>
      </w:pPr>
      <w:r>
        <w:rPr>
          <w:b/>
          <w:color w:val="0058BE"/>
          <w:sz w:val="24"/>
        </w:rPr>
        <w:t>Experts Entreprises (Transition)</w:t>
      </w:r>
    </w:p>
    <w:p>
      <w:pPr>
        <w:spacing w:after="120"/>
      </w:pPr>
      <w:r>
        <w:rPr>
          <w:b w:val="0"/>
          <w:i w:val="0"/>
          <w:sz w:val="22"/>
        </w:rPr>
        <w:t>Description: Ex-employees grandes structures cherchant indépendance</w:t>
      </w:r>
    </w:p>
    <w:p>
      <w:pPr>
        <w:spacing w:after="120"/>
      </w:pPr>
      <w:r>
        <w:rPr>
          <w:b w:val="0"/>
          <w:i w:val="0"/>
          <w:sz w:val="22"/>
        </w:rPr>
        <w:t>Taille Marché: ~15% du marché cible</w:t>
      </w:r>
    </w:p>
    <w:p>
      <w:pPr>
        <w:spacing w:after="120"/>
      </w:pPr>
      <w:r>
        <w:rPr>
          <w:b w:val="0"/>
          <w:i w:val="0"/>
          <w:sz w:val="22"/>
        </w:rPr>
        <w:t>Point Douleur: Pas de réseau client direct, peur client acquisition</w:t>
      </w:r>
    </w:p>
    <w:p>
      <w:pPr>
        <w:spacing w:after="120"/>
      </w:pPr>
      <w:r>
        <w:rPr>
          <w:b w:val="0"/>
          <w:i w:val="0"/>
          <w:sz w:val="22"/>
        </w:rPr>
        <w:t>Notre Solution: Plateforme fait le sourcing, expertise valorisée</w:t>
      </w:r>
    </w:p>
    <w:p/>
    <w:p>
      <w:pPr>
        <w:pStyle w:val="Heading2"/>
        <w:spacing w:before="240" w:after="120"/>
      </w:pPr>
      <w:r>
        <w:rPr>
          <w:b/>
          <w:color w:val="0058BE"/>
          <w:sz w:val="28"/>
        </w:rPr>
        <w:t>B. Entreprises (Côté Demande)</w:t>
      </w:r>
    </w:p>
    <w:p/>
    <w:p>
      <w:pPr>
        <w:pStyle w:val="Heading3"/>
        <w:spacing w:before="240" w:after="120"/>
      </w:pPr>
      <w:r>
        <w:rPr>
          <w:b/>
          <w:color w:val="0058BE"/>
          <w:sz w:val="24"/>
        </w:rPr>
        <w:t>PME (50-500 employés)</w:t>
      </w:r>
    </w:p>
    <w:p>
      <w:pPr>
        <w:spacing w:after="120"/>
      </w:pPr>
      <w:r>
        <w:rPr>
          <w:b w:val="0"/>
          <w:i w:val="0"/>
          <w:sz w:val="22"/>
        </w:rPr>
        <w:t>Description: Petites/moyennes entreprises, croissance 15-30%/an</w:t>
      </w:r>
    </w:p>
    <w:p>
      <w:pPr>
        <w:spacing w:after="120"/>
      </w:pPr>
      <w:r>
        <w:rPr>
          <w:b w:val="0"/>
          <w:i w:val="0"/>
          <w:sz w:val="22"/>
        </w:rPr>
        <w:t>Besoin: Implémentation SAP/Sage/NetSuite</w:t>
      </w:r>
    </w:p>
    <w:p>
      <w:pPr>
        <w:spacing w:after="120"/>
      </w:pPr>
      <w:r>
        <w:rPr>
          <w:b w:val="0"/>
          <w:i w:val="0"/>
          <w:sz w:val="22"/>
        </w:rPr>
        <w:t>Budget Annuel: €30-100K projet</w:t>
      </w:r>
    </w:p>
    <w:p>
      <w:pPr>
        <w:spacing w:after="120"/>
      </w:pPr>
      <w:r>
        <w:rPr>
          <w:b w:val="0"/>
          <w:i w:val="0"/>
          <w:sz w:val="22"/>
        </w:rPr>
        <w:t>Décideur: DSI/Directeur IT + Finance</w:t>
      </w:r>
    </w:p>
    <w:p/>
    <w:p>
      <w:pPr>
        <w:pStyle w:val="Heading3"/>
        <w:spacing w:before="240" w:after="120"/>
      </w:pPr>
      <w:r>
        <w:rPr>
          <w:b/>
          <w:color w:val="0058BE"/>
          <w:sz w:val="24"/>
        </w:rPr>
        <w:t>ETI (500-5000 employés)</w:t>
      </w:r>
    </w:p>
    <w:p>
      <w:pPr>
        <w:spacing w:after="120"/>
      </w:pPr>
      <w:r>
        <w:rPr>
          <w:b w:val="0"/>
          <w:i w:val="0"/>
          <w:sz w:val="22"/>
        </w:rPr>
        <w:t>Description: Mid-market, transformation digitale urgente</w:t>
      </w:r>
    </w:p>
    <w:p>
      <w:pPr>
        <w:spacing w:after="120"/>
      </w:pPr>
      <w:r>
        <w:rPr>
          <w:b w:val="0"/>
          <w:i w:val="0"/>
          <w:sz w:val="22"/>
        </w:rPr>
        <w:t>Besoin: Migration ERP multi-modules + support continu</w:t>
      </w:r>
    </w:p>
    <w:p>
      <w:pPr>
        <w:spacing w:after="120"/>
      </w:pPr>
      <w:r>
        <w:rPr>
          <w:b w:val="0"/>
          <w:i w:val="0"/>
          <w:sz w:val="22"/>
        </w:rPr>
        <w:t>Budget Annuel: €150-500K projet</w:t>
      </w:r>
    </w:p>
    <w:p>
      <w:pPr>
        <w:spacing w:after="120"/>
      </w:pPr>
      <w:r>
        <w:rPr>
          <w:b w:val="0"/>
          <w:i w:val="0"/>
          <w:sz w:val="22"/>
        </w:rPr>
        <w:t>Décideur: Directeur Digital + CIO + DAF</w:t>
      </w:r>
    </w:p>
    <w:p/>
    <w:p>
      <w:pPr>
        <w:pStyle w:val="Heading3"/>
        <w:spacing w:before="240" w:after="120"/>
      </w:pPr>
      <w:r>
        <w:rPr>
          <w:b/>
          <w:color w:val="0058BE"/>
          <w:sz w:val="24"/>
        </w:rPr>
        <w:t>Secteurs à Haut Potentiel</w:t>
      </w:r>
    </w:p>
    <w:p>
      <w:pPr>
        <w:spacing w:after="120"/>
      </w:pPr>
      <w:r>
        <w:rPr>
          <w:b w:val="0"/>
          <w:i w:val="0"/>
          <w:sz w:val="22"/>
        </w:rPr>
        <w:t>Description: Retail, Manufacturing, Distribution, Services</w:t>
      </w:r>
    </w:p>
    <w:p>
      <w:pPr>
        <w:spacing w:after="120"/>
      </w:pPr>
      <w:r>
        <w:rPr>
          <w:b w:val="0"/>
          <w:i w:val="0"/>
          <w:sz w:val="22"/>
        </w:rPr>
        <w:t>Besoin: Plateforme omnicanale, supply chain, commerce électronique</w:t>
      </w:r>
    </w:p>
    <w:p>
      <w:pPr>
        <w:spacing w:after="120"/>
      </w:pPr>
      <w:r>
        <w:rPr>
          <w:b w:val="0"/>
          <w:i w:val="0"/>
          <w:sz w:val="22"/>
        </w:rPr>
        <w:t>Budget Annuel: €50-300K annuel</w:t>
      </w:r>
    </w:p>
    <w:p>
      <w:pPr>
        <w:spacing w:after="120"/>
      </w:pPr>
      <w:r>
        <w:rPr>
          <w:b w:val="0"/>
          <w:i w:val="0"/>
          <w:sz w:val="22"/>
        </w:rPr>
        <w:t>Décideur: COO/CEO + IT</w:t>
      </w:r>
    </w:p>
    <w:p/>
    <w:p>
      <w:r>
        <w:br w:type="page"/>
      </w:r>
    </w:p>
    <w:p>
      <w:pPr>
        <w:pStyle w:val="Heading1"/>
        <w:spacing w:before="240" w:after="120"/>
      </w:pPr>
      <w:r>
        <w:rPr>
          <w:b/>
          <w:color w:val="00288E"/>
          <w:sz w:val="36"/>
        </w:rPr>
        <w:t>3. Stratégie par Canal d'Acquisition</w:t>
      </w:r>
    </w:p>
    <w:p>
      <w:pPr>
        <w:pStyle w:val="Heading2"/>
        <w:spacing w:before="240" w:after="120"/>
      </w:pPr>
      <w:r>
        <w:rPr>
          <w:b/>
          <w:color w:val="0058BE"/>
          <w:sz w:val="28"/>
        </w:rPr>
        <w:t>3.1 SEO &amp; Content Marketing</w:t>
      </w:r>
    </w:p>
    <w:p>
      <w:pPr>
        <w:pStyle w:val="Heading3"/>
        <w:spacing w:before="240" w:after="120"/>
      </w:pPr>
      <w:r>
        <w:rPr>
          <w:b/>
          <w:color w:val="0058BE"/>
          <w:sz w:val="24"/>
        </w:rPr>
        <w:t>Stratégie</w:t>
      </w:r>
    </w:p>
    <w:p>
      <w:pPr>
        <w:spacing w:after="120"/>
      </w:pPr>
      <w:r>
        <w:rPr>
          <w:b w:val="0"/>
          <w:i/>
          <w:sz w:val="22"/>
        </w:rPr>
        <w:t>Positionnement organique via contenu éducatif ciblent consultants et entreprises recherchant solutions ERP.</w:t>
      </w:r>
    </w:p>
    <w:p>
      <w:pPr>
        <w:pStyle w:val="Heading3"/>
        <w:spacing w:before="240" w:after="120"/>
      </w:pPr>
      <w:r>
        <w:rPr>
          <w:b/>
          <w:color w:val="0058BE"/>
          <w:sz w:val="24"/>
        </w:rPr>
        <w:t>Tactiques Spécifiques</w:t>
      </w:r>
    </w:p>
    <w:p>
      <w:pPr>
        <w:pStyle w:val="ListBullet"/>
        <w:spacing w:after="60"/>
      </w:pPr>
      <w:r>
        <w:t>Blog d'autorité (1-2 articles/semaine)</w:t>
      </w:r>
    </w:p>
    <w:p>
      <w:pPr>
        <w:pStyle w:val="ListBullet"/>
        <w:spacing w:after="60"/>
      </w:pPr>
      <w:r>
        <w:t>Guides PDF téléchargeables (lead magnets)</w:t>
      </w:r>
    </w:p>
    <w:p>
      <w:pPr>
        <w:pStyle w:val="ListBullet"/>
        <w:spacing w:after="60"/>
      </w:pPr>
      <w:r>
        <w:t>Case studies clients avec ROI quantifiés</w:t>
      </w:r>
    </w:p>
    <w:p>
      <w:pPr>
        <w:pStyle w:val="ListBullet"/>
        <w:spacing w:after="60"/>
      </w:pPr>
      <w:r>
        <w:t>Webinaires archivés (YouTube + plateforme)</w:t>
      </w:r>
    </w:p>
    <w:p>
      <w:pPr>
        <w:pStyle w:val="ListBullet"/>
        <w:spacing w:after="60"/>
      </w:pPr>
      <w:r>
        <w:t>Interviews consultants top-rated</w:t>
      </w:r>
    </w:p>
    <w:p>
      <w:pPr>
        <w:pStyle w:val="ListBullet"/>
        <w:spacing w:after="60"/>
      </w:pPr>
      <w:r>
        <w:t>Ressources comparatives (SAP vs Oracle vs Salesforce)</w:t>
      </w:r>
    </w:p>
    <w:p>
      <w:pPr>
        <w:pStyle w:val="Heading3"/>
        <w:spacing w:before="240" w:after="120"/>
      </w:pPr>
      <w:r>
        <w:rPr>
          <w:b/>
          <w:color w:val="0058BE"/>
          <w:sz w:val="24"/>
        </w:rPr>
        <w:t>KPIs</w:t>
      </w:r>
    </w:p>
    <w:p>
      <w:pPr>
        <w:pStyle w:val="ListBullet"/>
        <w:spacing w:after="60"/>
      </w:pPr>
      <w:r>
        <w:t>Visiteurs organiques mensuels: 5K → 15K</w:t>
      </w:r>
    </w:p>
    <w:p>
      <w:pPr>
        <w:pStyle w:val="ListBullet"/>
        <w:spacing w:after="60"/>
      </w:pPr>
      <w:r>
        <w:t>Taux de conversion blog → inscription: 2-3%</w:t>
      </w:r>
    </w:p>
    <w:p>
      <w:pPr>
        <w:pStyle w:val="ListBullet"/>
        <w:spacing w:after="60"/>
      </w:pPr>
      <w:r>
        <w:t>Leads qualifiés par content: 100+/mois (M3)</w:t>
      </w:r>
    </w:p>
    <w:p>
      <w:pPr>
        <w:pStyle w:val="ListBullet"/>
        <w:spacing w:after="60"/>
      </w:pPr>
      <w:r>
        <w:t>Ranking top 3 pour 20+ keywords clés</w:t>
      </w:r>
    </w:p>
    <w:p>
      <w:pPr>
        <w:pStyle w:val="Heading3"/>
        <w:spacing w:before="240" w:after="120"/>
      </w:pPr>
      <w:r>
        <w:rPr>
          <w:b/>
          <w:color w:val="0058BE"/>
          <w:sz w:val="24"/>
        </w:rPr>
        <w:t>Budget Estimé</w:t>
      </w:r>
    </w:p>
    <w:p>
      <w:pPr>
        <w:spacing w:after="120"/>
      </w:pPr>
      <w:r>
        <w:rPr>
          <w:b w:val="0"/>
          <w:i w:val="0"/>
          <w:sz w:val="22"/>
        </w:rPr>
        <w:t>€3,000/mois (content writer 0.5 FTE + tools SEO)</w:t>
      </w:r>
    </w:p>
    <w:p/>
    <w:p>
      <w:pPr>
        <w:pStyle w:val="Heading2"/>
        <w:spacing w:before="240" w:after="120"/>
      </w:pPr>
      <w:r>
        <w:rPr>
          <w:b/>
          <w:color w:val="0058BE"/>
          <w:sz w:val="28"/>
        </w:rPr>
        <w:t>3.2 LinkedIn (Organic + Paid)</w:t>
      </w:r>
    </w:p>
    <w:p>
      <w:pPr>
        <w:pStyle w:val="Heading3"/>
        <w:spacing w:before="240" w:after="120"/>
      </w:pPr>
      <w:r>
        <w:rPr>
          <w:b/>
          <w:color w:val="0058BE"/>
          <w:sz w:val="24"/>
        </w:rPr>
        <w:t>Stratégie</w:t>
      </w:r>
    </w:p>
    <w:p>
      <w:pPr>
        <w:spacing w:after="120"/>
      </w:pPr>
      <w:r>
        <w:rPr>
          <w:b w:val="0"/>
          <w:i/>
          <w:sz w:val="22"/>
        </w:rPr>
        <w:t>Engagement C-level (DSI, DAF, CTO) + community building consultants.</w:t>
      </w:r>
    </w:p>
    <w:p>
      <w:pPr>
        <w:pStyle w:val="Heading3"/>
        <w:spacing w:before="240" w:after="120"/>
      </w:pPr>
      <w:r>
        <w:rPr>
          <w:b/>
          <w:color w:val="0058BE"/>
          <w:sz w:val="24"/>
        </w:rPr>
        <w:t>Tactiques Spécifiques</w:t>
      </w:r>
    </w:p>
    <w:p>
      <w:pPr>
        <w:pStyle w:val="ListBullet"/>
        <w:spacing w:after="60"/>
      </w:pPr>
      <w:r>
        <w:t>Contenu CEO: posts hebdo "ERP trends" + success stories</w:t>
      </w:r>
    </w:p>
    <w:p>
      <w:pPr>
        <w:pStyle w:val="ListBullet"/>
        <w:spacing w:after="60"/>
      </w:pPr>
      <w:r>
        <w:t>LinkedIn Ads: campagnes ciblées DSI/DAF (France + Benelux)</w:t>
      </w:r>
    </w:p>
    <w:p>
      <w:pPr>
        <w:pStyle w:val="ListBullet"/>
        <w:spacing w:after="60"/>
      </w:pPr>
      <w:r>
        <w:t>Recruitment ads: cibler profils consultants par skill tags</w:t>
      </w:r>
    </w:p>
    <w:p>
      <w:pPr>
        <w:pStyle w:val="ListBullet"/>
        <w:spacing w:after="60"/>
      </w:pPr>
      <w:r>
        <w:t>LinkedIn Groups: partage expert + lead nurturing</w:t>
      </w:r>
    </w:p>
    <w:p>
      <w:pPr>
        <w:pStyle w:val="ListBullet"/>
        <w:spacing w:after="60"/>
      </w:pPr>
      <w:r>
        <w:t>InMail campaigns: outreach personnalisé top prospects</w:t>
      </w:r>
    </w:p>
    <w:p>
      <w:pPr>
        <w:pStyle w:val="ListBullet"/>
        <w:spacing w:after="60"/>
      </w:pPr>
      <w:r>
        <w:t>Employee advocacy: équipe partage updates produit</w:t>
      </w:r>
    </w:p>
    <w:p>
      <w:pPr>
        <w:pStyle w:val="Heading3"/>
        <w:spacing w:before="240" w:after="120"/>
      </w:pPr>
      <w:r>
        <w:rPr>
          <w:b/>
          <w:color w:val="0058BE"/>
          <w:sz w:val="24"/>
        </w:rPr>
        <w:t>KPIs</w:t>
      </w:r>
    </w:p>
    <w:p>
      <w:pPr>
        <w:pStyle w:val="ListBullet"/>
        <w:spacing w:after="60"/>
      </w:pPr>
      <w:r>
        <w:t>LinkedIn Ads CTR: 3-5%</w:t>
      </w:r>
    </w:p>
    <w:p>
      <w:pPr>
        <w:pStyle w:val="ListBullet"/>
        <w:spacing w:after="60"/>
      </w:pPr>
      <w:r>
        <w:t>Cost per lead qualifié: €15-25</w:t>
      </w:r>
    </w:p>
    <w:p>
      <w:pPr>
        <w:pStyle w:val="ListBullet"/>
        <w:spacing w:after="60"/>
      </w:pPr>
      <w:r>
        <w:t>Followers organiques: 500 → 3,000</w:t>
      </w:r>
    </w:p>
    <w:p>
      <w:pPr>
        <w:pStyle w:val="ListBullet"/>
        <w:spacing w:after="60"/>
      </w:pPr>
      <w:r>
        <w:t>Conversion messaging → consultation call: 15%</w:t>
      </w:r>
    </w:p>
    <w:p>
      <w:pPr>
        <w:pStyle w:val="Heading3"/>
        <w:spacing w:before="240" w:after="120"/>
      </w:pPr>
      <w:r>
        <w:rPr>
          <w:b/>
          <w:color w:val="0058BE"/>
          <w:sz w:val="24"/>
        </w:rPr>
        <w:t>Budget Estimé</w:t>
      </w:r>
    </w:p>
    <w:p>
      <w:pPr>
        <w:spacing w:after="120"/>
      </w:pPr>
      <w:r>
        <w:rPr>
          <w:b w:val="0"/>
          <w:i w:val="0"/>
          <w:sz w:val="22"/>
        </w:rPr>
        <w:t>€4,500/mois (€3K ads spend + 0.3 FTE social manager)</w:t>
      </w:r>
    </w:p>
    <w:p/>
    <w:p>
      <w:pPr>
        <w:pStyle w:val="Heading2"/>
        <w:spacing w:before="240" w:after="120"/>
      </w:pPr>
      <w:r>
        <w:rPr>
          <w:b/>
          <w:color w:val="0058BE"/>
          <w:sz w:val="28"/>
        </w:rPr>
        <w:t>3.3 Google Ads (Search + Display)</w:t>
      </w:r>
    </w:p>
    <w:p>
      <w:pPr>
        <w:pStyle w:val="Heading3"/>
        <w:spacing w:before="240" w:after="120"/>
      </w:pPr>
      <w:r>
        <w:rPr>
          <w:b/>
          <w:color w:val="0058BE"/>
          <w:sz w:val="24"/>
        </w:rPr>
        <w:t>Stratégie</w:t>
      </w:r>
    </w:p>
    <w:p>
      <w:pPr>
        <w:spacing w:after="120"/>
      </w:pPr>
      <w:r>
        <w:rPr>
          <w:b w:val="0"/>
          <w:i/>
          <w:sz w:val="22"/>
        </w:rPr>
        <w:t>Capturer demand "high intent" - consultants et entreprises recherchant activement solutions ERP.</w:t>
      </w:r>
    </w:p>
    <w:p>
      <w:pPr>
        <w:pStyle w:val="Heading3"/>
        <w:spacing w:before="240" w:after="120"/>
      </w:pPr>
      <w:r>
        <w:rPr>
          <w:b/>
          <w:color w:val="0058BE"/>
          <w:sz w:val="24"/>
        </w:rPr>
        <w:t>Tactiques Spécifiques</w:t>
      </w:r>
    </w:p>
    <w:p>
      <w:pPr>
        <w:pStyle w:val="ListBullet"/>
        <w:spacing w:after="60"/>
      </w:pPr>
      <w:r>
        <w:t>Search Ads: high-intent keywords (SAP consultant, Oracle partner, ERP implementation)</w:t>
      </w:r>
    </w:p>
    <w:p>
      <w:pPr>
        <w:pStyle w:val="ListBullet"/>
        <w:spacing w:after="60"/>
      </w:pPr>
      <w:r>
        <w:t>Remarketing: ciblage visiteurs site passés 30j</w:t>
      </w:r>
    </w:p>
    <w:p>
      <w:pPr>
        <w:pStyle w:val="ListBullet"/>
        <w:spacing w:after="60"/>
      </w:pPr>
      <w:r>
        <w:t>Audience intent: planification projets ERP (Google Topics)</w:t>
      </w:r>
    </w:p>
    <w:p>
      <w:pPr>
        <w:pStyle w:val="ListBullet"/>
        <w:spacing w:after="60"/>
      </w:pPr>
      <w:r>
        <w:t>Display Network: bannières ciblées sur sites IT/tech</w:t>
      </w:r>
    </w:p>
    <w:p>
      <w:pPr>
        <w:pStyle w:val="ListBullet"/>
        <w:spacing w:after="60"/>
      </w:pPr>
      <w:r>
        <w:t>Landing pages spécialisées par segment (consultant vs entreprise)</w:t>
      </w:r>
    </w:p>
    <w:p>
      <w:pPr>
        <w:pStyle w:val="ListBullet"/>
        <w:spacing w:after="60"/>
      </w:pPr>
      <w:r>
        <w:t>A/B testing messages + copy</w:t>
      </w:r>
    </w:p>
    <w:p>
      <w:pPr>
        <w:pStyle w:val="Heading3"/>
        <w:spacing w:before="240" w:after="120"/>
      </w:pPr>
      <w:r>
        <w:rPr>
          <w:b/>
          <w:color w:val="0058BE"/>
          <w:sz w:val="24"/>
        </w:rPr>
        <w:t>Keywords Prioritaires</w:t>
      </w:r>
    </w:p>
    <w:p>
      <w:pPr>
        <w:pStyle w:val="ListBullet"/>
        <w:spacing w:after="60"/>
      </w:pPr>
      <w:r>
        <w:t>Consultant ERP France, SAP freelance, Oracle partner, Salesforce expert</w:t>
      </w:r>
    </w:p>
    <w:p>
      <w:pPr>
        <w:pStyle w:val="ListBullet"/>
        <w:spacing w:after="60"/>
      </w:pPr>
      <w:r>
        <w:t>Implémentation ERP PME, logiciel gestion supply chain, solution CRM enterprise</w:t>
      </w:r>
    </w:p>
    <w:p>
      <w:pPr>
        <w:pStyle w:val="ListBullet"/>
        <w:spacing w:after="60"/>
      </w:pPr>
      <w:r>
        <w:t>Consulting ERP Benelux, intégrateur Odoo, services Workday</w:t>
      </w:r>
    </w:p>
    <w:p>
      <w:pPr>
        <w:pStyle w:val="Heading3"/>
        <w:spacing w:before="240" w:after="120"/>
      </w:pPr>
      <w:r>
        <w:rPr>
          <w:b/>
          <w:color w:val="0058BE"/>
          <w:sz w:val="24"/>
        </w:rPr>
        <w:t>KPIs</w:t>
      </w:r>
    </w:p>
    <w:p>
      <w:pPr>
        <w:pStyle w:val="ListBullet"/>
        <w:spacing w:after="60"/>
      </w:pPr>
      <w:r>
        <w:t>Cost per acquisition (CPA): €30-50</w:t>
      </w:r>
    </w:p>
    <w:p>
      <w:pPr>
        <w:pStyle w:val="ListBullet"/>
        <w:spacing w:after="60"/>
      </w:pPr>
      <w:r>
        <w:t>Quality Score moyenne: 7-9/10</w:t>
      </w:r>
    </w:p>
    <w:p>
      <w:pPr>
        <w:pStyle w:val="ListBullet"/>
        <w:spacing w:after="60"/>
      </w:pPr>
      <w:r>
        <w:t>Conversion rate: 4-6%</w:t>
      </w:r>
    </w:p>
    <w:p>
      <w:pPr>
        <w:pStyle w:val="ListBullet"/>
        <w:spacing w:after="60"/>
      </w:pPr>
      <w:r>
        <w:t>ROAS (Return on Ad Spend): 3-4x</w:t>
      </w:r>
    </w:p>
    <w:p>
      <w:pPr>
        <w:pStyle w:val="Heading3"/>
        <w:spacing w:before="240" w:after="120"/>
      </w:pPr>
      <w:r>
        <w:rPr>
          <w:b/>
          <w:color w:val="0058BE"/>
          <w:sz w:val="24"/>
        </w:rPr>
        <w:t>Budget Estimé</w:t>
      </w:r>
    </w:p>
    <w:p>
      <w:pPr>
        <w:spacing w:after="120"/>
      </w:pPr>
      <w:r>
        <w:rPr>
          <w:b w:val="0"/>
          <w:i w:val="0"/>
          <w:sz w:val="22"/>
        </w:rPr>
        <w:t>€5,000/mois (adspend €4K + management 0.2 FTE)</w:t>
      </w:r>
    </w:p>
    <w:p>
      <w:r>
        <w:br w:type="page"/>
      </w:r>
    </w:p>
    <w:p>
      <w:pPr>
        <w:pStyle w:val="Heading2"/>
        <w:spacing w:before="240" w:after="120"/>
      </w:pPr>
      <w:r>
        <w:rPr>
          <w:b/>
          <w:color w:val="0058BE"/>
          <w:sz w:val="28"/>
        </w:rPr>
        <w:t>3.4 Partenariats &amp; Programme de Parrainage</w:t>
      </w:r>
    </w:p>
    <w:p>
      <w:pPr>
        <w:pStyle w:val="Heading3"/>
        <w:spacing w:before="240" w:after="120"/>
      </w:pPr>
      <w:r>
        <w:rPr>
          <w:b/>
          <w:color w:val="0058BE"/>
          <w:sz w:val="24"/>
        </w:rPr>
        <w:t>Stratégie</w:t>
      </w:r>
    </w:p>
    <w:p>
      <w:pPr>
        <w:spacing w:after="120"/>
      </w:pPr>
      <w:r>
        <w:rPr>
          <w:b w:val="0"/>
          <w:i/>
          <w:sz w:val="22"/>
        </w:rPr>
        <w:t>Croissance virale par réseaux existants: alliances avec cabinets, universités, associations professionnelles.</w:t>
      </w:r>
    </w:p>
    <w:p>
      <w:pPr>
        <w:pStyle w:val="Heading3"/>
        <w:spacing w:before="240" w:after="120"/>
      </w:pPr>
      <w:r>
        <w:rPr>
          <w:b/>
          <w:color w:val="0058BE"/>
          <w:sz w:val="24"/>
        </w:rPr>
        <w:t>Tactiques Spécifiques</w:t>
      </w:r>
    </w:p>
    <w:p>
      <w:pPr>
        <w:pStyle w:val="ListBullet"/>
        <w:spacing w:after="60"/>
      </w:pPr>
      <w:r>
        <w:t>Partenariats cabinets conseil: co-marketing + revenue sharing</w:t>
      </w:r>
    </w:p>
    <w:p>
      <w:pPr>
        <w:pStyle w:val="ListBullet"/>
        <w:spacing w:after="60"/>
      </w:pPr>
      <w:r>
        <w:t>Alliances universités (écoles IT): stage + placement consultants junior</w:t>
      </w:r>
    </w:p>
    <w:p>
      <w:pPr>
        <w:pStyle w:val="ListBullet"/>
        <w:spacing w:after="60"/>
      </w:pPr>
      <w:r>
        <w:t>Sponsoring associations IT (Aproix, Club Informatique, etc.)</w:t>
      </w:r>
    </w:p>
    <w:p>
      <w:pPr>
        <w:pStyle w:val="ListBullet"/>
        <w:spacing w:after="60"/>
      </w:pPr>
      <w:r>
        <w:t>Programme d'affiliation: €50-200 par consultant qualifié référé</w:t>
      </w:r>
    </w:p>
    <w:p>
      <w:pPr>
        <w:pStyle w:val="ListBullet"/>
        <w:spacing w:after="60"/>
      </w:pPr>
      <w:r>
        <w:t>Channel partnerships: resellers avec marge 20%</w:t>
      </w:r>
    </w:p>
    <w:p>
      <w:pPr>
        <w:pStyle w:val="ListBullet"/>
        <w:spacing w:after="60"/>
      </w:pPr>
      <w:r>
        <w:t>White-label light: branded instances pour partenaires</w:t>
      </w:r>
    </w:p>
    <w:p>
      <w:pPr>
        <w:pStyle w:val="Heading3"/>
        <w:spacing w:before="240" w:after="120"/>
      </w:pPr>
      <w:r>
        <w:rPr>
          <w:b/>
          <w:color w:val="0058BE"/>
          <w:sz w:val="24"/>
        </w:rPr>
        <w:t>KPIs</w:t>
      </w:r>
    </w:p>
    <w:p>
      <w:pPr>
        <w:pStyle w:val="ListBullet"/>
        <w:spacing w:after="60"/>
      </w:pPr>
      <w:r>
        <w:t>Leads via partnership: 50+/mois (M2)</w:t>
      </w:r>
    </w:p>
    <w:p>
      <w:pPr>
        <w:pStyle w:val="ListBullet"/>
        <w:spacing w:after="60"/>
      </w:pPr>
      <w:r>
        <w:t>CAC via referral: €10-15 (vs €30-50 paid)</w:t>
      </w:r>
    </w:p>
    <w:p>
      <w:pPr>
        <w:pStyle w:val="ListBullet"/>
        <w:spacing w:after="60"/>
      </w:pPr>
      <w:r>
        <w:t>Rétention customers via partenaires: +15%</w:t>
      </w:r>
    </w:p>
    <w:p>
      <w:pPr>
        <w:pStyle w:val="ListBullet"/>
        <w:spacing w:after="60"/>
      </w:pPr>
      <w:r>
        <w:t>Partenaires activés: 20+ (M6)</w:t>
      </w:r>
    </w:p>
    <w:p>
      <w:pPr>
        <w:pStyle w:val="Heading3"/>
        <w:spacing w:before="240" w:after="120"/>
      </w:pPr>
      <w:r>
        <w:rPr>
          <w:b/>
          <w:color w:val="0058BE"/>
          <w:sz w:val="24"/>
        </w:rPr>
        <w:t>Budget Estimé</w:t>
      </w:r>
    </w:p>
    <w:p>
      <w:pPr>
        <w:spacing w:after="120"/>
      </w:pPr>
      <w:r>
        <w:rPr>
          <w:b w:val="0"/>
          <w:i w:val="0"/>
          <w:sz w:val="22"/>
        </w:rPr>
        <w:t>€2,000/mois (commission payments + support partnership manager 0.1 FTE)</w:t>
      </w:r>
    </w:p>
    <w:p/>
    <w:p>
      <w:pPr>
        <w:pStyle w:val="Heading2"/>
        <w:spacing w:before="240" w:after="120"/>
      </w:pPr>
      <w:r>
        <w:rPr>
          <w:b/>
          <w:color w:val="0058BE"/>
          <w:sz w:val="28"/>
        </w:rPr>
        <w:t>3.5 Email Marketing (Nurture)</w:t>
      </w:r>
    </w:p>
    <w:p>
      <w:pPr>
        <w:pStyle w:val="Heading3"/>
        <w:spacing w:before="240" w:after="120"/>
      </w:pPr>
      <w:r>
        <w:rPr>
          <w:b/>
          <w:color w:val="0058BE"/>
          <w:sz w:val="24"/>
        </w:rPr>
        <w:t>Stratégie</w:t>
      </w:r>
    </w:p>
    <w:p>
      <w:pPr>
        <w:spacing w:after="120"/>
      </w:pPr>
      <w:r>
        <w:rPr>
          <w:b w:val="0"/>
          <w:i/>
          <w:sz w:val="22"/>
        </w:rPr>
        <w:t>Nurture leads via email séquences éducatives + promotionnelles ciblées par persona.</w:t>
      </w:r>
    </w:p>
    <w:p>
      <w:pPr>
        <w:pStyle w:val="Heading3"/>
        <w:spacing w:before="240" w:after="120"/>
      </w:pPr>
      <w:r>
        <w:rPr>
          <w:b/>
          <w:color w:val="0058BE"/>
          <w:sz w:val="24"/>
        </w:rPr>
        <w:t>Tactiques Spécifiques</w:t>
      </w:r>
    </w:p>
    <w:p>
      <w:pPr>
        <w:pStyle w:val="ListBullet"/>
        <w:spacing w:after="60"/>
      </w:pPr>
      <w:r>
        <w:t>Onboarding sequence (5 emails): bienvenue + features tour + success stories</w:t>
      </w:r>
    </w:p>
    <w:p>
      <w:pPr>
        <w:pStyle w:val="ListBullet"/>
        <w:spacing w:after="60"/>
      </w:pPr>
      <w:r>
        <w:t>Nurture consultants (weekly): tips gestion client, case studies, pricing updates</w:t>
      </w:r>
    </w:p>
    <w:p>
      <w:pPr>
        <w:pStyle w:val="ListBullet"/>
        <w:spacing w:after="60"/>
      </w:pPr>
      <w:r>
        <w:t>Nurture entreprises (bi-weekly): webinaire recaps, how-to guides, customer testimonials</w:t>
      </w:r>
    </w:p>
    <w:p>
      <w:pPr>
        <w:pStyle w:val="ListBullet"/>
        <w:spacing w:after="60"/>
      </w:pPr>
      <w:r>
        <w:t>Re-engagement: win-back campaign pour utilisateurs inactifs 60+ jours</w:t>
      </w:r>
    </w:p>
    <w:p>
      <w:pPr>
        <w:pStyle w:val="ListBullet"/>
        <w:spacing w:after="60"/>
      </w:pPr>
      <w:r>
        <w:t>Promotional campaigns: seasonal offers, product launches</w:t>
      </w:r>
    </w:p>
    <w:p>
      <w:pPr>
        <w:pStyle w:val="ListBullet"/>
        <w:spacing w:after="60"/>
      </w:pPr>
      <w:r>
        <w:t>Segmentation avancée: consultants active vs churned + enterprises trials</w:t>
      </w:r>
    </w:p>
    <w:p>
      <w:pPr>
        <w:pStyle w:val="Heading3"/>
        <w:spacing w:before="240" w:after="120"/>
      </w:pPr>
      <w:r>
        <w:rPr>
          <w:b/>
          <w:color w:val="0058BE"/>
          <w:sz w:val="24"/>
        </w:rPr>
        <w:t>KPIs</w:t>
      </w:r>
    </w:p>
    <w:p>
      <w:pPr>
        <w:pStyle w:val="ListBullet"/>
        <w:spacing w:after="60"/>
      </w:pPr>
      <w:r>
        <w:t>Email list size: 2K → 10K</w:t>
      </w:r>
    </w:p>
    <w:p>
      <w:pPr>
        <w:pStyle w:val="ListBullet"/>
        <w:spacing w:after="60"/>
      </w:pPr>
      <w:r>
        <w:t>Open rate moyenne: 25-30%</w:t>
      </w:r>
    </w:p>
    <w:p>
      <w:pPr>
        <w:pStyle w:val="ListBullet"/>
        <w:spacing w:after="60"/>
      </w:pPr>
      <w:r>
        <w:t>Click rate moyenne: 4-6%</w:t>
      </w:r>
    </w:p>
    <w:p>
      <w:pPr>
        <w:pStyle w:val="ListBullet"/>
        <w:spacing w:after="60"/>
      </w:pPr>
      <w:r>
        <w:t>Conversion email → upgrade: 8-12%</w:t>
      </w:r>
    </w:p>
    <w:p>
      <w:pPr>
        <w:pStyle w:val="ListBullet"/>
        <w:spacing w:after="60"/>
      </w:pPr>
      <w:r>
        <w:t>Unsubscribe rate: &lt; 0.5%</w:t>
      </w:r>
    </w:p>
    <w:p>
      <w:pPr>
        <w:pStyle w:val="Heading3"/>
        <w:spacing w:before="240" w:after="120"/>
      </w:pPr>
      <w:r>
        <w:rPr>
          <w:b/>
          <w:color w:val="0058BE"/>
          <w:sz w:val="24"/>
        </w:rPr>
        <w:t>Budget Estimé</w:t>
      </w:r>
    </w:p>
    <w:p>
      <w:pPr>
        <w:spacing w:after="120"/>
      </w:pPr>
      <w:r>
        <w:rPr>
          <w:b w:val="0"/>
          <w:i w:val="0"/>
          <w:sz w:val="22"/>
        </w:rPr>
        <w:t>€800/mois (platform Mailchimp €500 + email copywriter 0.2 FTE)</w:t>
      </w:r>
    </w:p>
    <w:p/>
    <w:p>
      <w:pPr>
        <w:pStyle w:val="Heading2"/>
        <w:spacing w:before="240" w:after="120"/>
      </w:pPr>
      <w:r>
        <w:rPr>
          <w:b/>
          <w:color w:val="0058BE"/>
          <w:sz w:val="28"/>
        </w:rPr>
        <w:t>3.6 Événements &amp; Webinaires</w:t>
      </w:r>
    </w:p>
    <w:p>
      <w:pPr>
        <w:pStyle w:val="Heading3"/>
        <w:spacing w:before="240" w:after="120"/>
      </w:pPr>
      <w:r>
        <w:rPr>
          <w:b/>
          <w:color w:val="0058BE"/>
          <w:sz w:val="24"/>
        </w:rPr>
        <w:t>Stratégie</w:t>
      </w:r>
    </w:p>
    <w:p>
      <w:pPr>
        <w:spacing w:after="120"/>
      </w:pPr>
      <w:r>
        <w:rPr>
          <w:b w:val="0"/>
          <w:i/>
          <w:sz w:val="22"/>
        </w:rPr>
        <w:t>Thought leadership + lead generation via webinaires + conférences secteur.</w:t>
      </w:r>
    </w:p>
    <w:p>
      <w:pPr>
        <w:pStyle w:val="Heading3"/>
        <w:spacing w:before="240" w:after="120"/>
      </w:pPr>
      <w:r>
        <w:rPr>
          <w:b/>
          <w:color w:val="0058BE"/>
          <w:sz w:val="24"/>
        </w:rPr>
        <w:t>Tactiques Spécifiques</w:t>
      </w:r>
    </w:p>
    <w:p>
      <w:pPr>
        <w:pStyle w:val="ListBullet"/>
        <w:spacing w:after="60"/>
      </w:pPr>
      <w:r>
        <w:t>Webinaires mensuels: "ERP Trends", "Case Studies", "Implementation Best Practices"</w:t>
      </w:r>
    </w:p>
    <w:p>
      <w:pPr>
        <w:pStyle w:val="ListBullet"/>
        <w:spacing w:after="60"/>
      </w:pPr>
      <w:r>
        <w:t>Sponsoring conférences: Forum IT Décideurs, SAP Live, Salon Informatique</w:t>
      </w:r>
    </w:p>
    <w:p>
      <w:pPr>
        <w:pStyle w:val="ListBullet"/>
        <w:spacing w:after="60"/>
      </w:pPr>
      <w:r>
        <w:t>Booth/stand: networking direct avec DSI et CTO</w:t>
      </w:r>
    </w:p>
    <w:p>
      <w:pPr>
        <w:pStyle w:val="ListBullet"/>
        <w:spacing w:after="60"/>
      </w:pPr>
      <w:r>
        <w:t>Roundtables: invitation-only pour senior prospects</w:t>
      </w:r>
    </w:p>
    <w:p>
      <w:pPr>
        <w:pStyle w:val="ListBullet"/>
        <w:spacing w:after="60"/>
      </w:pPr>
      <w:r>
        <w:t>Hackathon ERP: challenge innovation pour consultants junior</w:t>
      </w:r>
    </w:p>
    <w:p>
      <w:pPr>
        <w:pStyle w:val="ListBullet"/>
        <w:spacing w:after="60"/>
      </w:pPr>
      <w:r>
        <w:t>Événement annual: ExpertERPHub Summit (offline ou hybrid)</w:t>
      </w:r>
    </w:p>
    <w:p>
      <w:pPr>
        <w:pStyle w:val="Heading3"/>
        <w:spacing w:before="240" w:after="120"/>
      </w:pPr>
      <w:r>
        <w:rPr>
          <w:b/>
          <w:color w:val="0058BE"/>
          <w:sz w:val="24"/>
        </w:rPr>
        <w:t>KPIs</w:t>
      </w:r>
    </w:p>
    <w:p>
      <w:pPr>
        <w:pStyle w:val="ListBullet"/>
        <w:spacing w:after="60"/>
      </w:pPr>
      <w:r>
        <w:t>Webinaire attendance: 200-500 par session</w:t>
      </w:r>
    </w:p>
    <w:p>
      <w:pPr>
        <w:pStyle w:val="ListBullet"/>
        <w:spacing w:after="60"/>
      </w:pPr>
      <w:r>
        <w:t>Lead capture rate: 30-40% attendees</w:t>
      </w:r>
    </w:p>
    <w:p>
      <w:pPr>
        <w:pStyle w:val="ListBullet"/>
        <w:spacing w:after="60"/>
      </w:pPr>
      <w:r>
        <w:t>Conference leads: 100-150 par event</w:t>
      </w:r>
    </w:p>
    <w:p>
      <w:pPr>
        <w:pStyle w:val="ListBullet"/>
        <w:spacing w:after="60"/>
      </w:pPr>
      <w:r>
        <w:t>SQL qualified rate: 20-30%</w:t>
      </w:r>
    </w:p>
    <w:p>
      <w:pPr>
        <w:pStyle w:val="Heading3"/>
        <w:spacing w:before="240" w:after="120"/>
      </w:pPr>
      <w:r>
        <w:rPr>
          <w:b/>
          <w:color w:val="0058BE"/>
          <w:sz w:val="24"/>
        </w:rPr>
        <w:t>Budget Estimé</w:t>
      </w:r>
    </w:p>
    <w:p>
      <w:pPr>
        <w:spacing w:after="120"/>
      </w:pPr>
      <w:r>
        <w:rPr>
          <w:b w:val="0"/>
          <w:i w:val="0"/>
          <w:sz w:val="22"/>
        </w:rPr>
        <w:t>€2,500/mois (sponsorships €1.5K + webinaire production €1K)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color w:val="00288E"/>
          <w:sz w:val="36"/>
        </w:rPr>
        <w:t>4. Stratégie d'Acquisition des Consultants</w:t>
      </w:r>
    </w:p>
    <w:p>
      <w:pPr>
        <w:pStyle w:val="Heading2"/>
        <w:spacing w:before="240" w:after="120"/>
      </w:pPr>
      <w:r>
        <w:rPr>
          <w:b/>
          <w:color w:val="0058BE"/>
          <w:sz w:val="28"/>
        </w:rPr>
        <w:t>Positionnement</w:t>
      </w:r>
    </w:p>
    <w:p>
      <w:pPr>
        <w:spacing w:after="120"/>
      </w:pPr>
      <w:r>
        <w:rPr>
          <w:b w:val="0"/>
          <w:i/>
          <w:sz w:val="22"/>
        </w:rPr>
        <w:t>"Trouvez 10x plus de clients qualifiés en 30 jours sans prospecter"</w:t>
      </w:r>
    </w:p>
    <w:p/>
    <w:p>
      <w:pPr>
        <w:pStyle w:val="Heading2"/>
        <w:spacing w:before="240" w:after="120"/>
      </w:pPr>
      <w:r>
        <w:rPr>
          <w:b/>
          <w:color w:val="0058BE"/>
          <w:sz w:val="28"/>
        </w:rPr>
        <w:t>Tactiques Spécifiques par Canal</w:t>
      </w:r>
    </w:p>
    <w:p>
      <w:pPr>
        <w:pStyle w:val="Heading3"/>
        <w:spacing w:before="240" w:after="120"/>
      </w:pPr>
      <w:r>
        <w:rPr>
          <w:b/>
          <w:color w:val="0058BE"/>
          <w:sz w:val="24"/>
        </w:rPr>
        <w:t>A. Profil Public + Social Proof</w:t>
      </w:r>
    </w:p>
    <w:p>
      <w:pPr>
        <w:pStyle w:val="ListBullet"/>
        <w:spacing w:after="60"/>
      </w:pPr>
      <w:r>
        <w:t>Design profil attractif: portfolio visual + avis clients en vedette</w:t>
      </w:r>
    </w:p>
    <w:p>
      <w:pPr>
        <w:pStyle w:val="ListBullet"/>
        <w:spacing w:after="60"/>
      </w:pPr>
      <w:r>
        <w:t>Certification badges: SAP, Oracle, Salesforce, Microsoft validés</w:t>
      </w:r>
    </w:p>
    <w:p>
      <w:pPr>
        <w:pStyle w:val="ListBullet"/>
        <w:spacing w:after="60"/>
      </w:pPr>
      <w:r>
        <w:t>Historique projets: timeline interactive des implémentations réussies</w:t>
      </w:r>
    </w:p>
    <w:p>
      <w:pPr>
        <w:pStyle w:val="ListBullet"/>
        <w:spacing w:after="60"/>
      </w:pPr>
      <w:r>
        <w:t>Recommandations LinkedIn embedded sur profil</w:t>
      </w:r>
    </w:p>
    <w:p>
      <w:pPr>
        <w:pStyle w:val="ListBullet"/>
        <w:spacing w:after="60"/>
      </w:pPr>
      <w:r>
        <w:t>Pricing transparency: tarifs affichés par type de mission</w:t>
      </w:r>
    </w:p>
    <w:p>
      <w:pPr>
        <w:pStyle w:val="ListBullet"/>
        <w:spacing w:after="60"/>
      </w:pPr>
      <w:r>
        <w:t>Vidéo présentation: teaser 60-90s sur expertise + approche</w:t>
      </w:r>
    </w:p>
    <w:p>
      <w:pPr>
        <w:pStyle w:val="Heading3"/>
        <w:spacing w:before="240" w:after="120"/>
      </w:pPr>
      <w:r>
        <w:rPr>
          <w:b/>
          <w:color w:val="0058BE"/>
          <w:sz w:val="24"/>
        </w:rPr>
        <w:t>B. Matching Algorithmique</w:t>
      </w:r>
    </w:p>
    <w:p>
      <w:pPr>
        <w:spacing w:after="120"/>
      </w:pPr>
      <w:r>
        <w:rPr>
          <w:b w:val="0"/>
          <w:i w:val="0"/>
          <w:sz w:val="22"/>
        </w:rPr>
        <w:t>Augmenter visibilité via algorithme matching intelligent:</w:t>
      </w:r>
    </w:p>
    <w:p>
      <w:pPr>
        <w:pStyle w:val="ListBullet"/>
        <w:spacing w:after="60"/>
      </w:pPr>
      <w:r>
        <w:t>Notifications temps-réel: nouveau projet correspond à profil consultant</w:t>
      </w:r>
    </w:p>
    <w:p>
      <w:pPr>
        <w:pStyle w:val="ListBullet"/>
        <w:spacing w:after="60"/>
      </w:pPr>
      <w:r>
        <w:t>Recommandations personnalisées: basées sur expertise + localisation</w:t>
      </w:r>
    </w:p>
    <w:p>
      <w:pPr>
        <w:pStyle w:val="ListBullet"/>
        <w:spacing w:after="60"/>
      </w:pPr>
      <w:r>
        <w:t>Featured profile: meilleurs consultants (5-star) en vedette</w:t>
      </w:r>
    </w:p>
    <w:p>
      <w:pPr>
        <w:pStyle w:val="ListBullet"/>
        <w:spacing w:after="60"/>
      </w:pPr>
      <w:r>
        <w:t>Trending consultants: spotlight si taux acceptance élevé + reviews positifs</w:t>
      </w:r>
    </w:p>
    <w:p>
      <w:pPr>
        <w:pStyle w:val="ListBullet"/>
        <w:spacing w:after="60"/>
      </w:pPr>
      <w:r>
        <w:t>Smart notifications: fréquence optimale (ne pas spammer)</w:t>
      </w:r>
    </w:p>
    <w:p>
      <w:pPr>
        <w:pStyle w:val="Heading3"/>
        <w:spacing w:before="240" w:after="120"/>
      </w:pPr>
      <w:r>
        <w:rPr>
          <w:b/>
          <w:color w:val="0058BE"/>
          <w:sz w:val="24"/>
        </w:rPr>
        <w:t>C. Gamification &amp; Incentives</w:t>
      </w:r>
    </w:p>
    <w:p>
      <w:pPr>
        <w:pStyle w:val="ListBullet"/>
        <w:spacing w:after="60"/>
      </w:pPr>
      <w:r>
        <w:t>Reputation score: points pour completion rate + client satisfaction</w:t>
      </w:r>
    </w:p>
    <w:p>
      <w:pPr>
        <w:pStyle w:val="ListBullet"/>
        <w:spacing w:after="60"/>
      </w:pPr>
      <w:r>
        <w:t>Badges: "Expert Certifié", "Top Rated", "Trend Setter", "Community Helper"</w:t>
      </w:r>
    </w:p>
    <w:p>
      <w:pPr>
        <w:pStyle w:val="ListBullet"/>
        <w:spacing w:after="60"/>
      </w:pPr>
      <w:r>
        <w:t>Leaderboard: top consultants par mois + année (affichage public)</w:t>
      </w:r>
    </w:p>
    <w:p>
      <w:pPr>
        <w:pStyle w:val="ListBullet"/>
        <w:spacing w:after="60"/>
      </w:pPr>
      <w:r>
        <w:t>Bonus programme: €500-2K prime si consultant atteint 5+ projets Q1</w:t>
      </w:r>
    </w:p>
    <w:p>
      <w:pPr>
        <w:pStyle w:val="ListBullet"/>
        <w:spacing w:after="60"/>
      </w:pPr>
      <w:r>
        <w:t>Tier membership: Freelance Standard → Pro → Expert (perks additionnels)</w:t>
      </w:r>
    </w:p>
    <w:p>
      <w:pPr>
        <w:pStyle w:val="ListBullet"/>
        <w:spacing w:after="60"/>
      </w:pPr>
      <w:r>
        <w:t>Referral bonus: €100 par consultant qualifié référé</w:t>
      </w:r>
    </w:p>
    <w:p>
      <w:pPr>
        <w:pStyle w:val="Heading3"/>
        <w:spacing w:before="240" w:after="120"/>
      </w:pPr>
      <w:r>
        <w:rPr>
          <w:b/>
          <w:color w:val="0058BE"/>
          <w:sz w:val="24"/>
        </w:rPr>
        <w:t>D. Support &amp; Resources</w:t>
      </w:r>
    </w:p>
    <w:p>
      <w:pPr>
        <w:pStyle w:val="ListBullet"/>
        <w:spacing w:after="60"/>
      </w:pPr>
      <w:r>
        <w:t>Knowledge base: templates contrats, pitch guides, client management tips</w:t>
      </w:r>
    </w:p>
    <w:p>
      <w:pPr>
        <w:pStyle w:val="ListBullet"/>
        <w:spacing w:after="60"/>
      </w:pPr>
      <w:r>
        <w:t>Webinaire series: "Comment négocier tarif", "Storytelling client", "ERP Certifications"</w:t>
      </w:r>
    </w:p>
    <w:p>
      <w:pPr>
        <w:pStyle w:val="ListBullet"/>
        <w:spacing w:after="60"/>
      </w:pPr>
      <w:r>
        <w:t>Slack community: network peer consultants, share tips, ask advice</w:t>
      </w:r>
    </w:p>
    <w:p>
      <w:pPr>
        <w:pStyle w:val="ListBullet"/>
        <w:spacing w:after="60"/>
      </w:pPr>
      <w:r>
        <w:t>Monthly meetups: offline networking entre consultants (Paris + Lyon)</w:t>
      </w:r>
    </w:p>
    <w:p>
      <w:pPr>
        <w:pStyle w:val="ListBullet"/>
        <w:spacing w:after="60"/>
      </w:pPr>
      <w:r>
        <w:t>Tax/legal guidance: ressources pour freelanceurs ERP</w:t>
      </w:r>
    </w:p>
    <w:p>
      <w:pPr>
        <w:pStyle w:val="ListBullet"/>
        <w:spacing w:after="60"/>
      </w:pPr>
      <w:r>
        <w:t>Certification assistance: discount sur SAP/Oracle certification exams</w:t>
      </w:r>
    </w:p>
    <w:p>
      <w:pPr>
        <w:pStyle w:val="Heading2"/>
        <w:spacing w:before="240" w:after="120"/>
      </w:pPr>
      <w:r>
        <w:rPr>
          <w:b/>
          <w:color w:val="0058BE"/>
          <w:sz w:val="28"/>
        </w:rPr>
        <w:t>Canaux de Recrutement Prioritaires</w:t>
      </w:r>
    </w:p>
    <w:p>
      <w:pPr>
        <w:pStyle w:val="ListBullet"/>
        <w:spacing w:after="60"/>
      </w:pPr>
      <w:r>
        <w:t>1. Sourcing direct via LinkedIn (recruiter AI-powered)</w:t>
      </w:r>
    </w:p>
    <w:p>
      <w:pPr>
        <w:pStyle w:val="ListBullet"/>
        <w:spacing w:after="60"/>
      </w:pPr>
      <w:r>
        <w:t>2. Outreach via cabinets conseil (partnership)</w:t>
      </w:r>
    </w:p>
    <w:p>
      <w:pPr>
        <w:pStyle w:val="ListBullet"/>
        <w:spacing w:after="60"/>
      </w:pPr>
      <w:r>
        <w:t>3. Universités IT + écoles d'ingénieur (placement programs)</w:t>
      </w:r>
    </w:p>
    <w:p>
      <w:pPr>
        <w:pStyle w:val="ListBullet"/>
        <w:spacing w:after="60"/>
      </w:pPr>
      <w:r>
        <w:t>4. Associations professionnelles (sponsoring + booth)</w:t>
      </w:r>
    </w:p>
    <w:p>
      <w:pPr>
        <w:pStyle w:val="ListBullet"/>
        <w:spacing w:after="60"/>
      </w:pPr>
      <w:r>
        <w:t>5. Content marketing (consultants trouvent via Google)</w:t>
      </w:r>
    </w:p>
    <w:p>
      <w:pPr>
        <w:pStyle w:val="ListBullet"/>
        <w:spacing w:after="60"/>
      </w:pPr>
      <w:r>
        <w:t>6. Community word-of-mouth (referral program)</w:t>
      </w:r>
    </w:p>
    <w:p>
      <w:pPr>
        <w:pStyle w:val="ListBullet"/>
        <w:spacing w:after="60"/>
      </w:pPr>
      <w:r>
        <w:t>7. Webinaires + conférences (thought leadership)</w:t>
      </w:r>
    </w:p>
    <w:p>
      <w:pPr>
        <w:pStyle w:val="ListBullet"/>
        <w:spacing w:after="60"/>
      </w:pPr>
      <w:r>
        <w:t>8. Publicité Google ciblée (consultant freelance keywords)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color w:val="00288E"/>
          <w:sz w:val="36"/>
        </w:rPr>
        <w:t>5. Stratégie d'Acquisition des Entreprises</w:t>
      </w:r>
    </w:p>
    <w:p>
      <w:pPr>
        <w:pStyle w:val="Heading2"/>
        <w:spacing w:before="240" w:after="120"/>
      </w:pPr>
      <w:r>
        <w:rPr>
          <w:b/>
          <w:color w:val="0058BE"/>
          <w:sz w:val="28"/>
        </w:rPr>
        <w:t>Positionnement</w:t>
      </w:r>
    </w:p>
    <w:p>
      <w:pPr>
        <w:spacing w:after="120"/>
      </w:pPr>
      <w:r>
        <w:rPr>
          <w:b w:val="0"/>
          <w:i/>
          <w:sz w:val="22"/>
        </w:rPr>
        <w:t>"Trouvez le bon consultant ERP en 48h - vérifiés, expérimentés, disponibles"</w:t>
      </w:r>
    </w:p>
    <w:p/>
    <w:p>
      <w:pPr>
        <w:pStyle w:val="Heading2"/>
        <w:spacing w:before="240" w:after="120"/>
      </w:pPr>
      <w:r>
        <w:rPr>
          <w:b/>
          <w:color w:val="0058BE"/>
          <w:sz w:val="28"/>
        </w:rPr>
        <w:t>Tactiques Spécifiques par Canal</w:t>
      </w:r>
    </w:p>
    <w:p>
      <w:pPr>
        <w:pStyle w:val="Heading3"/>
        <w:spacing w:before="240" w:after="120"/>
      </w:pPr>
      <w:r>
        <w:rPr>
          <w:b/>
          <w:color w:val="0058BE"/>
          <w:sz w:val="24"/>
        </w:rPr>
        <w:t>A. Trial Gratuit + Onboarding Guidé</w:t>
      </w:r>
    </w:p>
    <w:p>
      <w:pPr>
        <w:pStyle w:val="ListBullet"/>
        <w:spacing w:after="60"/>
      </w:pPr>
      <w:r>
        <w:t>14-day free trial: accès complet sans carte crédit</w:t>
      </w:r>
    </w:p>
    <w:p>
      <w:pPr>
        <w:pStyle w:val="ListBullet"/>
        <w:spacing w:after="60"/>
      </w:pPr>
      <w:r>
        <w:t>Onboarding call: 30-min intro call pour setup profil + objectifs</w:t>
      </w:r>
    </w:p>
    <w:p>
      <w:pPr>
        <w:pStyle w:val="ListBullet"/>
        <w:spacing w:after="60"/>
      </w:pPr>
      <w:r>
        <w:t>Pre-filled project briefing: questionnaire intelligente pour matcher</w:t>
      </w:r>
    </w:p>
    <w:p>
      <w:pPr>
        <w:pStyle w:val="ListBullet"/>
        <w:spacing w:after="60"/>
      </w:pPr>
      <w:r>
        <w:t>Instant match: 3-5 profils consultants proposés dès day 1</w:t>
      </w:r>
    </w:p>
    <w:p>
      <w:pPr>
        <w:pStyle w:val="ListBullet"/>
        <w:spacing w:after="60"/>
      </w:pPr>
      <w:r>
        <w:t>Success manager assigné: pour assurer 1er projet réussi</w:t>
      </w:r>
    </w:p>
    <w:p>
      <w:pPr>
        <w:pStyle w:val="ListBullet"/>
        <w:spacing w:after="60"/>
      </w:pPr>
      <w:r>
        <w:t>Conversion offer: 50% discount mois 1 si conversion to paid</w:t>
      </w:r>
    </w:p>
    <w:p>
      <w:pPr>
        <w:pStyle w:val="Heading3"/>
        <w:spacing w:before="240" w:after="120"/>
      </w:pPr>
      <w:r>
        <w:rPr>
          <w:b/>
          <w:color w:val="0058BE"/>
          <w:sz w:val="24"/>
        </w:rPr>
        <w:t>B. Proof of Value (POV) Rapide</w:t>
      </w:r>
    </w:p>
    <w:p>
      <w:pPr>
        <w:spacing w:after="120"/>
      </w:pPr>
      <w:r>
        <w:rPr>
          <w:b w:val="0"/>
          <w:i w:val="0"/>
          <w:sz w:val="22"/>
        </w:rPr>
        <w:t>Montrer ROI rapidement:</w:t>
      </w:r>
    </w:p>
    <w:p>
      <w:pPr>
        <w:pStyle w:val="ListBullet"/>
        <w:spacing w:after="60"/>
      </w:pPr>
      <w:r>
        <w:t>Case studies benchmarks: "similaire à votre secteur - implémentation 6 mois vs 12 mois habituellement"</w:t>
      </w:r>
    </w:p>
    <w:p>
      <w:pPr>
        <w:pStyle w:val="ListBullet"/>
        <w:spacing w:after="60"/>
      </w:pPr>
      <w:r>
        <w:t>Cost calculator: "vous économiseriez €X vs cabinet traditionnel"</w:t>
      </w:r>
    </w:p>
    <w:p>
      <w:pPr>
        <w:pStyle w:val="ListBullet"/>
        <w:spacing w:after="60"/>
      </w:pPr>
      <w:r>
        <w:t>Quick match demo: montrer matching engine live (2 mins)</w:t>
      </w:r>
    </w:p>
    <w:p>
      <w:pPr>
        <w:pStyle w:val="ListBullet"/>
        <w:spacing w:after="60"/>
      </w:pPr>
      <w:r>
        <w:t>Reference calls: mettre en contact avec 1-2 clients références similaires</w:t>
      </w:r>
    </w:p>
    <w:p>
      <w:pPr>
        <w:pStyle w:val="ListBullet"/>
        <w:spacing w:after="60"/>
      </w:pPr>
      <w:r>
        <w:t>Implementation roadmap template: document de 5 pages pour 1er projet</w:t>
      </w:r>
    </w:p>
    <w:p>
      <w:pPr>
        <w:pStyle w:val="ListBullet"/>
        <w:spacing w:after="60"/>
      </w:pPr>
      <w:r>
        <w:t>Success story deck: 3-5 cas similaires détaillés</w:t>
      </w:r>
    </w:p>
    <w:p>
      <w:pPr>
        <w:pStyle w:val="Heading3"/>
        <w:spacing w:before="240" w:after="120"/>
      </w:pPr>
      <w:r>
        <w:rPr>
          <w:b/>
          <w:color w:val="0058BE"/>
          <w:sz w:val="24"/>
        </w:rPr>
        <w:t>C. Sales Outreach Ciblée</w:t>
      </w:r>
    </w:p>
    <w:p>
      <w:pPr>
        <w:pStyle w:val="ListBullet"/>
        <w:spacing w:after="60"/>
      </w:pPr>
      <w:r>
        <w:t>LinkedIn Sales Navigator: ciblage DSI/CTO/DAF par secteur + size</w:t>
      </w:r>
    </w:p>
    <w:p>
      <w:pPr>
        <w:pStyle w:val="ListBullet"/>
        <w:spacing w:after="60"/>
      </w:pPr>
      <w:r>
        <w:t>Personalized InMail: message custom basé sur infos company (plan, news)</w:t>
      </w:r>
    </w:p>
    <w:p>
      <w:pPr>
        <w:pStyle w:val="ListBullet"/>
        <w:spacing w:after="60"/>
      </w:pPr>
      <w:r>
        <w:t>Warm outreach via partners: referral depuis cabinets/consultants</w:t>
      </w:r>
    </w:p>
    <w:p>
      <w:pPr>
        <w:pStyle w:val="ListBullet"/>
        <w:spacing w:after="60"/>
      </w:pPr>
      <w:r>
        <w:t>Event follow-up: contact rapide attendee conférence (24-48h)</w:t>
      </w:r>
    </w:p>
    <w:p>
      <w:pPr>
        <w:pStyle w:val="ListBullet"/>
        <w:spacing w:after="60"/>
      </w:pPr>
      <w:r>
        <w:t>Retargeting ads: banners pour visiteurs site qui n'ont pas signé</w:t>
      </w:r>
    </w:p>
    <w:p>
      <w:pPr>
        <w:pStyle w:val="ListBullet"/>
        <w:spacing w:after="60"/>
      </w:pPr>
      <w:r>
        <w:t>Direct outreach API: prospection semi-automatisée (CRM data)</w:t>
      </w:r>
    </w:p>
    <w:p>
      <w:pPr>
        <w:pStyle w:val="Heading3"/>
        <w:spacing w:before="240" w:after="120"/>
      </w:pPr>
      <w:r>
        <w:rPr>
          <w:b/>
          <w:color w:val="0058BE"/>
          <w:sz w:val="24"/>
        </w:rPr>
        <w:t>D. Content + Thought Leadership</w:t>
      </w:r>
    </w:p>
    <w:p>
      <w:pPr>
        <w:pStyle w:val="ListBullet"/>
        <w:spacing w:after="60"/>
      </w:pPr>
      <w:r>
        <w:t>Whitepapers: "State of ERP Implementation 2026" (benchmark france)</w:t>
      </w:r>
    </w:p>
    <w:p>
      <w:pPr>
        <w:pStyle w:val="ListBullet"/>
        <w:spacing w:after="60"/>
      </w:pPr>
      <w:r>
        <w:t>Webinar series: inviter C-level speakers (CIO, CDO)</w:t>
      </w:r>
    </w:p>
    <w:p>
      <w:pPr>
        <w:pStyle w:val="ListBullet"/>
        <w:spacing w:after="60"/>
      </w:pPr>
      <w:r>
        <w:t>Comparison guides: Oracle vs SAP vs Salesforce (avantages/inconvénients)</w:t>
      </w:r>
    </w:p>
    <w:p>
      <w:pPr>
        <w:pStyle w:val="ListBullet"/>
        <w:spacing w:after="60"/>
      </w:pPr>
      <w:r>
        <w:t>Sector reports: ERP trends manufacturing, retail, services</w:t>
      </w:r>
    </w:p>
    <w:p>
      <w:pPr>
        <w:pStyle w:val="ListBullet"/>
        <w:spacing w:after="60"/>
      </w:pPr>
      <w:r>
        <w:t>Blog articles: SEO-optimized pour decision makers</w:t>
      </w:r>
    </w:p>
    <w:p>
      <w:pPr>
        <w:pStyle w:val="ListBullet"/>
        <w:spacing w:after="60"/>
      </w:pPr>
      <w:r>
        <w:t>Newsletter bi-weekly: trends + matching success stories</w:t>
      </w:r>
    </w:p>
    <w:p>
      <w:pPr>
        <w:pStyle w:val="Heading3"/>
        <w:spacing w:before="240" w:after="120"/>
      </w:pPr>
      <w:r>
        <w:rPr>
          <w:b/>
          <w:color w:val="0058BE"/>
          <w:sz w:val="24"/>
        </w:rPr>
        <w:t>E. Partnership Channel</w:t>
      </w:r>
    </w:p>
    <w:p>
      <w:pPr>
        <w:pStyle w:val="ListBullet"/>
        <w:spacing w:after="60"/>
      </w:pPr>
      <w:r>
        <w:t>Cabinet conseil: co-sell plateforme aux clients implémentation</w:t>
      </w:r>
    </w:p>
    <w:p>
      <w:pPr>
        <w:pStyle w:val="ListBullet"/>
        <w:spacing w:after="60"/>
      </w:pPr>
      <w:r>
        <w:t>Integrators: Accenture, Deloitte, Capgemini (white-label trial)</w:t>
      </w:r>
    </w:p>
    <w:p>
      <w:pPr>
        <w:pStyle w:val="ListBullet"/>
        <w:spacing w:after="60"/>
      </w:pPr>
      <w:r>
        <w:t>Software vendors: SAP, Oracle partnership (referral program)</w:t>
      </w:r>
    </w:p>
    <w:p>
      <w:pPr>
        <w:pStyle w:val="ListBullet"/>
        <w:spacing w:after="60"/>
      </w:pPr>
      <w:r>
        <w:t>Consulting boutiques: specialised ERP firms (affiliate model)</w:t>
      </w:r>
    </w:p>
    <w:p>
      <w:pPr>
        <w:pStyle w:val="ListBullet"/>
        <w:spacing w:after="60"/>
      </w:pPr>
      <w:r>
        <w:t>Industry associations: chamber commerce sponsorship</w:t>
      </w:r>
    </w:p>
    <w:p>
      <w:pPr>
        <w:pStyle w:val="ListBullet"/>
        <w:spacing w:after="60"/>
      </w:pPr>
      <w:r>
        <w:t>Resellers programme: marge 20% pour agencies de conseil IT</w:t>
      </w:r>
    </w:p>
    <w:p>
      <w:pPr>
        <w:pStyle w:val="Heading2"/>
        <w:spacing w:before="240" w:after="120"/>
      </w:pPr>
      <w:r>
        <w:rPr>
          <w:b/>
          <w:color w:val="0058BE"/>
          <w:sz w:val="28"/>
        </w:rPr>
        <w:t>Segmentation Messaging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Segment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Pain Point Clé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Message Clé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Channel Prioritaire</w:t>
            </w:r>
          </w:p>
        </w:tc>
      </w:tr>
      <w:tr>
        <w:tc>
          <w:tcPr>
            <w:tcW w:type="dxa" w:w="2340"/>
          </w:tcPr>
          <w:p>
            <w:r>
              <w:t>PME croissance</w:t>
            </w:r>
          </w:p>
        </w:tc>
        <w:tc>
          <w:tcPr>
            <w:tcW w:type="dxa" w:w="2340"/>
          </w:tcPr>
          <w:p>
            <w:r>
              <w:t>Budget limité, urgence time-to-market</w:t>
            </w:r>
          </w:p>
        </w:tc>
        <w:tc>
          <w:tcPr>
            <w:tcW w:type="dxa" w:w="2340"/>
          </w:tcPr>
          <w:p>
            <w:r>
              <w:t>Consultants pre-vetted, 40% moins cher que cabinets</w:t>
            </w:r>
          </w:p>
        </w:tc>
        <w:tc>
          <w:tcPr>
            <w:tcW w:type="dxa" w:w="2340"/>
          </w:tcPr>
          <w:p>
            <w:r>
              <w:t>Google Ads + Email</w:t>
            </w:r>
          </w:p>
        </w:tc>
      </w:tr>
      <w:tr>
        <w:tc>
          <w:tcPr>
            <w:tcW w:type="dxa" w:w="2340"/>
          </w:tcPr>
          <w:p>
            <w:r>
              <w:t>ETI digitale</w:t>
            </w:r>
          </w:p>
        </w:tc>
        <w:tc>
          <w:tcPr>
            <w:tcW w:type="dxa" w:w="2340"/>
          </w:tcPr>
          <w:p>
            <w:r>
              <w:t>Trouver expertise rare (Salesforce cloud)</w:t>
            </w:r>
          </w:p>
        </w:tc>
        <w:tc>
          <w:tcPr>
            <w:tcW w:type="dxa" w:w="2340"/>
          </w:tcPr>
          <w:p>
            <w:r>
              <w:t>Accès instant à experts certifiés, 200+ consultants</w:t>
            </w:r>
          </w:p>
        </w:tc>
        <w:tc>
          <w:tcPr>
            <w:tcW w:type="dxa" w:w="2340"/>
          </w:tcPr>
          <w:p>
            <w:r>
              <w:t>LinkedIn + Partenariats</w:t>
            </w:r>
          </w:p>
        </w:tc>
      </w:tr>
      <w:tr>
        <w:tc>
          <w:tcPr>
            <w:tcW w:type="dxa" w:w="2340"/>
          </w:tcPr>
          <w:p>
            <w:r>
              <w:t>Secteur public/services</w:t>
            </w:r>
          </w:p>
        </w:tc>
        <w:tc>
          <w:tcPr>
            <w:tcW w:type="dxa" w:w="2340"/>
          </w:tcPr>
          <w:p>
            <w:r>
              <w:t>Compliance + expertise niche</w:t>
            </w:r>
          </w:p>
        </w:tc>
        <w:tc>
          <w:tcPr>
            <w:tcW w:type="dxa" w:w="2340"/>
          </w:tcPr>
          <w:p>
            <w:r>
              <w:t>Consultants agréés, portfolio transparent</w:t>
            </w:r>
          </w:p>
        </w:tc>
        <w:tc>
          <w:tcPr>
            <w:tcW w:type="dxa" w:w="2340"/>
          </w:tcPr>
          <w:p>
            <w:r>
              <w:t>Events + Content marketing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rPr>
          <w:b/>
          <w:color w:val="00288E"/>
          <w:sz w:val="36"/>
        </w:rPr>
        <w:t>6. Plan de Lancement 90 Jours</w:t>
      </w:r>
    </w:p>
    <w:p>
      <w:pPr>
        <w:pStyle w:val="Heading2"/>
        <w:spacing w:before="240" w:after="120"/>
      </w:pPr>
      <w:r>
        <w:rPr>
          <w:b/>
          <w:color w:val="0058BE"/>
          <w:sz w:val="28"/>
        </w:rPr>
        <w:t>SEMAINE 1-2: Foundation (Jours 1-14)</w:t>
      </w:r>
    </w:p>
    <w:p>
      <w:pPr>
        <w:pStyle w:val="ListBullet"/>
        <w:spacing w:after="60"/>
      </w:pPr>
      <w:r>
        <w:t>Préparer landing pages (3 versions: consultants, enterprises, partners)</w:t>
      </w:r>
    </w:p>
    <w:p>
      <w:pPr>
        <w:pStyle w:val="ListBullet"/>
        <w:spacing w:after="60"/>
      </w:pPr>
      <w:r>
        <w:t>Setup analytics: Google Analytics 4 + Mixpanel events tracking</w:t>
      </w:r>
    </w:p>
    <w:p>
      <w:pPr>
        <w:pStyle w:val="ListBullet"/>
        <w:spacing w:after="60"/>
      </w:pPr>
      <w:r>
        <w:t>Créer email templates base (onboarding, welcome, nurture)</w:t>
      </w:r>
    </w:p>
    <w:p>
      <w:pPr>
        <w:pStyle w:val="ListBullet"/>
        <w:spacing w:after="60"/>
      </w:pPr>
      <w:r>
        <w:t>Configurer CRM/lead management (HubSpot free tier)</w:t>
      </w:r>
    </w:p>
    <w:p>
      <w:pPr>
        <w:pStyle w:val="ListBullet"/>
        <w:spacing w:after="60"/>
      </w:pPr>
      <w:r>
        <w:t>Définir personas détaillés (buyer profiles)</w:t>
      </w:r>
    </w:p>
    <w:p>
      <w:pPr>
        <w:pStyle w:val="ListBullet"/>
        <w:spacing w:after="60"/>
      </w:pPr>
      <w:r>
        <w:t>Compiler liste 500+ leads LinkedIn initiale (consultants)</w:t>
      </w:r>
    </w:p>
    <w:p>
      <w:pPr>
        <w:pStyle w:val="ListBullet"/>
        <w:spacing w:after="60"/>
      </w:pPr>
      <w:r>
        <w:t>Valider messaging auprès de 5 beta users</w:t>
      </w:r>
    </w:p>
    <w:p>
      <w:pPr>
        <w:pStyle w:val="Heading2"/>
        <w:spacing w:before="240" w:after="120"/>
      </w:pPr>
      <w:r>
        <w:rPr>
          <w:b/>
          <w:color w:val="0058BE"/>
          <w:sz w:val="28"/>
        </w:rPr>
        <w:t>SEMAINE 3-4: Early Acquisition (Jours 15-28)</w:t>
      </w:r>
    </w:p>
    <w:p>
      <w:pPr>
        <w:pStyle w:val="ListBullet"/>
        <w:spacing w:after="60"/>
      </w:pPr>
      <w:r>
        <w:t>Lancer Early Access Program: 50 consultants pilotes (selective)</w:t>
      </w:r>
    </w:p>
    <w:p>
      <w:pPr>
        <w:pStyle w:val="ListBullet"/>
        <w:spacing w:after="60"/>
      </w:pPr>
      <w:r>
        <w:t>Activer LinkedIn Ads pilot: €500/semaine budget test</w:t>
      </w:r>
    </w:p>
    <w:p>
      <w:pPr>
        <w:pStyle w:val="ListBullet"/>
        <w:spacing w:after="60"/>
      </w:pPr>
      <w:r>
        <w:t>Publier premier blog article: "Top 5 ERP Trends 2026"</w:t>
      </w:r>
    </w:p>
    <w:p>
      <w:pPr>
        <w:pStyle w:val="ListBullet"/>
        <w:spacing w:after="60"/>
      </w:pPr>
      <w:r>
        <w:t>Organiser 1er webinaire: guest speaker consultant expert</w:t>
      </w:r>
    </w:p>
    <w:p>
      <w:pPr>
        <w:pStyle w:val="ListBullet"/>
        <w:spacing w:after="60"/>
      </w:pPr>
      <w:r>
        <w:t>Sourcer 20 leads entreprises PME qualifiés (outreach manuel)</w:t>
      </w:r>
    </w:p>
    <w:p>
      <w:pPr>
        <w:pStyle w:val="ListBullet"/>
        <w:spacing w:after="60"/>
      </w:pPr>
      <w:r>
        <w:t>Setup referral program: template, tracking, commission</w:t>
      </w:r>
    </w:p>
    <w:p>
      <w:pPr>
        <w:pStyle w:val="ListBullet"/>
        <w:spacing w:after="60"/>
      </w:pPr>
      <w:r>
        <w:t>Créer content library: 3 case studies + 1 whitepaper</w:t>
      </w:r>
    </w:p>
    <w:p>
      <w:pPr>
        <w:pStyle w:val="ListBullet"/>
        <w:spacing w:after="60"/>
      </w:pPr>
      <w:r>
        <w:t>Metriques: 200 consultant signups, 50 enterprise trials</w:t>
      </w:r>
    </w:p>
    <w:p>
      <w:pPr>
        <w:pStyle w:val="Heading2"/>
        <w:spacing w:before="240" w:after="120"/>
      </w:pPr>
      <w:r>
        <w:rPr>
          <w:b/>
          <w:color w:val="0058BE"/>
          <w:sz w:val="28"/>
        </w:rPr>
        <w:t>SEMAINE 5-8: Growth Acceleration (Jours 29-56)</w:t>
      </w:r>
    </w:p>
    <w:p>
      <w:pPr>
        <w:pStyle w:val="ListBullet"/>
        <w:spacing w:after="60"/>
      </w:pPr>
      <w:r>
        <w:t>Scaler Google Ads: augmenter à €2K/semaine (multi-campaigns)</w:t>
      </w:r>
    </w:p>
    <w:p>
      <w:pPr>
        <w:pStyle w:val="ListBullet"/>
        <w:spacing w:after="60"/>
      </w:pPr>
      <w:r>
        <w:t>Lancer LinkedIn Sales Navigator sequences (DSI/CTO outreach)</w:t>
      </w:r>
    </w:p>
    <w:p>
      <w:pPr>
        <w:pStyle w:val="ListBullet"/>
        <w:spacing w:after="60"/>
      </w:pPr>
      <w:r>
        <w:t>Activater 3+ partnership deals: cabinets conseil + universités</w:t>
      </w:r>
    </w:p>
    <w:p>
      <w:pPr>
        <w:pStyle w:val="ListBullet"/>
        <w:spacing w:after="60"/>
      </w:pPr>
      <w:r>
        <w:t>Publier 4 articles blog + 1 guide téléchargeable</w:t>
      </w:r>
    </w:p>
    <w:p>
      <w:pPr>
        <w:pStyle w:val="ListBullet"/>
        <w:spacing w:after="60"/>
      </w:pPr>
      <w:r>
        <w:t>Organiser 2 webinaires + 1 event partenaire</w:t>
      </w:r>
    </w:p>
    <w:p>
      <w:pPr>
        <w:pStyle w:val="ListBullet"/>
        <w:spacing w:after="60"/>
      </w:pPr>
      <w:r>
        <w:t>Email nurture campaigns: setup 3 sequences (consultant, enterprise, partner)</w:t>
      </w:r>
    </w:p>
    <w:p>
      <w:pPr>
        <w:pStyle w:val="ListBullet"/>
        <w:spacing w:after="60"/>
      </w:pPr>
      <w:r>
        <w:t>A/B tester landing pages + ad copy</w:t>
      </w:r>
    </w:p>
    <w:p>
      <w:pPr>
        <w:pStyle w:val="ListBullet"/>
        <w:spacing w:after="60"/>
      </w:pPr>
      <w:r>
        <w:t>Recueillir 50+ avis clients + case studies written</w:t>
      </w:r>
    </w:p>
    <w:p>
      <w:pPr>
        <w:pStyle w:val="ListBullet"/>
        <w:spacing w:after="60"/>
      </w:pPr>
      <w:r>
        <w:t>Metriques: 600 consultant signups (cumulatif), 150 enterprise trials</w:t>
      </w:r>
    </w:p>
    <w:p>
      <w:pPr>
        <w:pStyle w:val="Heading2"/>
        <w:spacing w:before="240" w:after="120"/>
      </w:pPr>
      <w:r>
        <w:rPr>
          <w:b/>
          <w:color w:val="0058BE"/>
          <w:sz w:val="28"/>
        </w:rPr>
        <w:t>SEMAINE 9-12: Optimization (Jours 57-84)</w:t>
      </w:r>
    </w:p>
    <w:p>
      <w:pPr>
        <w:pStyle w:val="ListBullet"/>
        <w:spacing w:after="60"/>
      </w:pPr>
      <w:r>
        <w:t>Analyser data: identify top-performing channels (CAC, LTV)</w:t>
      </w:r>
    </w:p>
    <w:p>
      <w:pPr>
        <w:pStyle w:val="ListBullet"/>
        <w:spacing w:after="60"/>
      </w:pPr>
      <w:r>
        <w:t>Optimiser landing pages: redesign underperformers</w:t>
      </w:r>
    </w:p>
    <w:p>
      <w:pPr>
        <w:pStyle w:val="ListBullet"/>
        <w:spacing w:after="60"/>
      </w:pPr>
      <w:r>
        <w:t>Scaler winning channels: +50% budget si ROAS &gt; 3x</w:t>
      </w:r>
    </w:p>
    <w:p>
      <w:pPr>
        <w:pStyle w:val="ListBullet"/>
        <w:spacing w:after="60"/>
      </w:pPr>
      <w:r>
        <w:t>Lancer enterprise sales calls: conversion focus</w:t>
      </w:r>
    </w:p>
    <w:p>
      <w:pPr>
        <w:pStyle w:val="ListBullet"/>
        <w:spacing w:after="60"/>
      </w:pPr>
      <w:r>
        <w:t>Organiser 1st ExpertERPHub Online Summit (2-day virtual)</w:t>
      </w:r>
    </w:p>
    <w:p>
      <w:pPr>
        <w:pStyle w:val="ListBullet"/>
        <w:spacing w:after="60"/>
      </w:pPr>
      <w:r>
        <w:t>Recruiter sales hire: pour outreach B2B scaled</w:t>
      </w:r>
    </w:p>
    <w:p>
      <w:pPr>
        <w:pStyle w:val="ListBullet"/>
        <w:spacing w:after="60"/>
      </w:pPr>
      <w:r>
        <w:t>Setup loyalty/referral incentives: bonuses consultant top performers</w:t>
      </w:r>
    </w:p>
    <w:p>
      <w:pPr>
        <w:pStyle w:val="ListBullet"/>
        <w:spacing w:after="60"/>
      </w:pPr>
      <w:r>
        <w:t>Metriques: 800+ consultant signups, 250+ enterprise trials, 50+ conversions</w:t>
      </w:r>
    </w:p>
    <w:p>
      <w:pPr>
        <w:pStyle w:val="Heading2"/>
        <w:spacing w:before="240" w:after="120"/>
      </w:pPr>
      <w:r>
        <w:rPr>
          <w:b/>
          <w:color w:val="0058BE"/>
          <w:sz w:val="28"/>
        </w:rPr>
        <w:t>KPIs CIBLE - JOUR 90</w:t>
      </w:r>
    </w:p>
    <w:p>
      <w:pPr>
        <w:pStyle w:val="ListBullet"/>
        <w:spacing w:after="60"/>
      </w:pPr>
      <w:r>
        <w:t>Consultants registered: 800+</w:t>
      </w:r>
    </w:p>
    <w:p>
      <w:pPr>
        <w:pStyle w:val="ListBullet"/>
        <w:spacing w:after="60"/>
      </w:pPr>
      <w:r>
        <w:t>Enterprises trials started: 250+</w:t>
      </w:r>
    </w:p>
    <w:p>
      <w:pPr>
        <w:pStyle w:val="ListBullet"/>
        <w:spacing w:after="60"/>
      </w:pPr>
      <w:r>
        <w:t>Paid conversions: 50+ (CAC avg €50)</w:t>
      </w:r>
    </w:p>
    <w:p>
      <w:pPr>
        <w:pStyle w:val="ListBullet"/>
        <w:spacing w:after="60"/>
      </w:pPr>
      <w:r>
        <w:t>Monthly Recurring Revenue: €5K-8K</w:t>
      </w:r>
    </w:p>
    <w:p>
      <w:pPr>
        <w:pStyle w:val="ListBullet"/>
        <w:spacing w:after="60"/>
      </w:pPr>
      <w:r>
        <w:t>Monthly active users: 40%+ engagement</w:t>
      </w:r>
    </w:p>
    <w:p>
      <w:pPr>
        <w:pStyle w:val="ListBullet"/>
        <w:spacing w:after="60"/>
      </w:pPr>
      <w:r>
        <w:t>Website traffic: 5K monthly organic + 3K paid</w:t>
      </w:r>
    </w:p>
    <w:p>
      <w:pPr>
        <w:pStyle w:val="ListBullet"/>
        <w:spacing w:after="60"/>
      </w:pPr>
      <w:r>
        <w:t>Leads sourced: 300+ qualified (all channels combined)</w:t>
      </w:r>
    </w:p>
    <w:p>
      <w:pPr>
        <w:pStyle w:val="ListBullet"/>
        <w:spacing w:after="60"/>
      </w:pPr>
      <w:r>
        <w:t>Customer satisfaction: NPS 40+</w:t>
      </w:r>
    </w:p>
    <w:p>
      <w:pPr>
        <w:pStyle w:val="ListBullet"/>
        <w:spacing w:after="60"/>
      </w:pPr>
      <w:r>
        <w:t>CAC payback period: &lt; 4 months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color w:val="00288E"/>
          <w:sz w:val="36"/>
        </w:rPr>
        <w:t>7. Budget d'Allocation par Canal</w:t>
      </w:r>
    </w:p>
    <w:p>
      <w:pPr>
        <w:pStyle w:val="Heading2"/>
        <w:spacing w:before="240" w:after="120"/>
      </w:pPr>
      <w:r>
        <w:rPr>
          <w:b/>
          <w:color w:val="0058BE"/>
          <w:sz w:val="28"/>
        </w:rPr>
        <w:t>Résumé Mensuel par Canal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Canal</w:t>
            </w:r>
          </w:p>
        </w:tc>
        <w:tc>
          <w:tcPr>
            <w:tcW w:type="dxa" w:w="1872"/>
          </w:tcPr>
          <w:p>
            <w:r>
              <w:rPr>
                <w:b/>
              </w:rPr>
              <w:t>M1-M3 (€)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M4-M6 (€)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M7-M12 (€)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872"/>
          </w:tcPr>
          <w:p>
            <w:r>
              <w:t>SEO &amp; Content Marketing</w:t>
            </w:r>
          </w:p>
        </w:tc>
        <w:tc>
          <w:tcPr>
            <w:tcW w:type="dxa" w:w="1872"/>
          </w:tcPr>
          <w:p>
            <w:r>
              <w:t>3,000</w:t>
            </w:r>
          </w:p>
        </w:tc>
        <w:tc>
          <w:tcPr>
            <w:tcW w:type="dxa" w:w="1872"/>
          </w:tcPr>
          <w:p>
            <w:r>
              <w:t>4,000</w:t>
            </w:r>
          </w:p>
        </w:tc>
        <w:tc>
          <w:tcPr>
            <w:tcW w:type="dxa" w:w="1872"/>
          </w:tcPr>
          <w:p>
            <w:r>
              <w:t>5,000</w:t>
            </w:r>
          </w:p>
        </w:tc>
        <w:tc>
          <w:tcPr>
            <w:tcW w:type="dxa" w:w="1872"/>
          </w:tcPr>
          <w:p>
            <w:r>
              <w:t>Organic long-term value</w:t>
            </w:r>
          </w:p>
        </w:tc>
      </w:tr>
      <w:tr>
        <w:tc>
          <w:tcPr>
            <w:tcW w:type="dxa" w:w="1872"/>
          </w:tcPr>
          <w:p>
            <w:r>
              <w:t>LinkedIn (Ads + Organic)</w:t>
            </w:r>
          </w:p>
        </w:tc>
        <w:tc>
          <w:tcPr>
            <w:tcW w:type="dxa" w:w="1872"/>
          </w:tcPr>
          <w:p>
            <w:r>
              <w:t>4,500</w:t>
            </w:r>
          </w:p>
        </w:tc>
        <w:tc>
          <w:tcPr>
            <w:tcW w:type="dxa" w:w="1872"/>
          </w:tcPr>
          <w:p>
            <w:r>
              <w:t>6,000</w:t>
            </w:r>
          </w:p>
        </w:tc>
        <w:tc>
          <w:tcPr>
            <w:tcW w:type="dxa" w:w="1872"/>
          </w:tcPr>
          <w:p>
            <w:r>
              <w:t>8,000</w:t>
            </w:r>
          </w:p>
        </w:tc>
        <w:tc>
          <w:tcPr>
            <w:tcW w:type="dxa" w:w="1872"/>
          </w:tcPr>
          <w:p>
            <w:r>
              <w:t>High-intent B2B leads</w:t>
            </w:r>
          </w:p>
        </w:tc>
      </w:tr>
      <w:tr>
        <w:tc>
          <w:tcPr>
            <w:tcW w:type="dxa" w:w="1872"/>
          </w:tcPr>
          <w:p>
            <w:r>
              <w:t>Google Ads</w:t>
            </w:r>
          </w:p>
        </w:tc>
        <w:tc>
          <w:tcPr>
            <w:tcW w:type="dxa" w:w="1872"/>
          </w:tcPr>
          <w:p>
            <w:r>
              <w:t>5,000</w:t>
            </w:r>
          </w:p>
        </w:tc>
        <w:tc>
          <w:tcPr>
            <w:tcW w:type="dxa" w:w="1872"/>
          </w:tcPr>
          <w:p>
            <w:r>
              <w:t>7,000</w:t>
            </w:r>
          </w:p>
        </w:tc>
        <w:tc>
          <w:tcPr>
            <w:tcW w:type="dxa" w:w="1872"/>
          </w:tcPr>
          <w:p>
            <w:r>
              <w:t>10,000</w:t>
            </w:r>
          </w:p>
        </w:tc>
        <w:tc>
          <w:tcPr>
            <w:tcW w:type="dxa" w:w="1872"/>
          </w:tcPr>
          <w:p>
            <w:r>
              <w:t>Scale winning keywords</w:t>
            </w:r>
          </w:p>
        </w:tc>
      </w:tr>
      <w:tr>
        <w:tc>
          <w:tcPr>
            <w:tcW w:type="dxa" w:w="1872"/>
          </w:tcPr>
          <w:p>
            <w:r>
              <w:t>Events &amp; Webinaires</w:t>
            </w:r>
          </w:p>
        </w:tc>
        <w:tc>
          <w:tcPr>
            <w:tcW w:type="dxa" w:w="1872"/>
          </w:tcPr>
          <w:p>
            <w:r>
              <w:t>2,500</w:t>
            </w:r>
          </w:p>
        </w:tc>
        <w:tc>
          <w:tcPr>
            <w:tcW w:type="dxa" w:w="1872"/>
          </w:tcPr>
          <w:p>
            <w:r>
              <w:t>3,500</w:t>
            </w:r>
          </w:p>
        </w:tc>
        <w:tc>
          <w:tcPr>
            <w:tcW w:type="dxa" w:w="1872"/>
          </w:tcPr>
          <w:p>
            <w:r>
              <w:t>5,000</w:t>
            </w:r>
          </w:p>
        </w:tc>
        <w:tc>
          <w:tcPr>
            <w:tcW w:type="dxa" w:w="1872"/>
          </w:tcPr>
          <w:p>
            <w:r>
              <w:t>Thought leadership + leads</w:t>
            </w:r>
          </w:p>
        </w:tc>
      </w:tr>
      <w:tr>
        <w:tc>
          <w:tcPr>
            <w:tcW w:type="dxa" w:w="1872"/>
          </w:tcPr>
          <w:p>
            <w:r>
              <w:t>Email Marketing</w:t>
            </w:r>
          </w:p>
        </w:tc>
        <w:tc>
          <w:tcPr>
            <w:tcW w:type="dxa" w:w="1872"/>
          </w:tcPr>
          <w:p>
            <w:r>
              <w:t>800</w:t>
            </w:r>
          </w:p>
        </w:tc>
        <w:tc>
          <w:tcPr>
            <w:tcW w:type="dxa" w:w="1872"/>
          </w:tcPr>
          <w:p>
            <w:r>
              <w:t>1,000</w:t>
            </w:r>
          </w:p>
        </w:tc>
        <w:tc>
          <w:tcPr>
            <w:tcW w:type="dxa" w:w="1872"/>
          </w:tcPr>
          <w:p>
            <w:r>
              <w:t>1,200</w:t>
            </w:r>
          </w:p>
        </w:tc>
        <w:tc>
          <w:tcPr>
            <w:tcW w:type="dxa" w:w="1872"/>
          </w:tcPr>
          <w:p>
            <w:r>
              <w:t>Nurture + retention</w:t>
            </w:r>
          </w:p>
        </w:tc>
      </w:tr>
      <w:tr>
        <w:tc>
          <w:tcPr>
            <w:tcW w:type="dxa" w:w="1872"/>
          </w:tcPr>
          <w:p>
            <w:r>
              <w:t>Partnerships &amp; Referral</w:t>
            </w:r>
          </w:p>
        </w:tc>
        <w:tc>
          <w:tcPr>
            <w:tcW w:type="dxa" w:w="1872"/>
          </w:tcPr>
          <w:p>
            <w:r>
              <w:t>2,000</w:t>
            </w:r>
          </w:p>
        </w:tc>
        <w:tc>
          <w:tcPr>
            <w:tcW w:type="dxa" w:w="1872"/>
          </w:tcPr>
          <w:p>
            <w:r>
              <w:t>2,500</w:t>
            </w:r>
          </w:p>
        </w:tc>
        <w:tc>
          <w:tcPr>
            <w:tcW w:type="dxa" w:w="1872"/>
          </w:tcPr>
          <w:p>
            <w:r>
              <w:t>3,000</w:t>
            </w:r>
          </w:p>
        </w:tc>
        <w:tc>
          <w:tcPr>
            <w:tcW w:type="dxa" w:w="1872"/>
          </w:tcPr>
          <w:p>
            <w:r>
              <w:t>Commission + support</w:t>
            </w:r>
          </w:p>
        </w:tc>
      </w:tr>
      <w:tr>
        <w:tc>
          <w:tcPr>
            <w:tcW w:type="dxa" w:w="1872"/>
          </w:tcPr>
          <w:p>
            <w:r>
              <w:t>Tools &amp; Infrastructure</w:t>
            </w:r>
          </w:p>
        </w:tc>
        <w:tc>
          <w:tcPr>
            <w:tcW w:type="dxa" w:w="1872"/>
          </w:tcPr>
          <w:p>
            <w:r>
              <w:t>1,200</w:t>
            </w:r>
          </w:p>
        </w:tc>
        <w:tc>
          <w:tcPr>
            <w:tcW w:type="dxa" w:w="1872"/>
          </w:tcPr>
          <w:p>
            <w:r>
              <w:t>1,200</w:t>
            </w:r>
          </w:p>
        </w:tc>
        <w:tc>
          <w:tcPr>
            <w:tcW w:type="dxa" w:w="1872"/>
          </w:tcPr>
          <w:p>
            <w:r>
              <w:t>1,200</w:t>
            </w:r>
          </w:p>
        </w:tc>
        <w:tc>
          <w:tcPr>
            <w:tcW w:type="dxa" w:w="1872"/>
          </w:tcPr>
          <w:p>
            <w:r>
              <w:t>Analytics, CRM, email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TOTAL MENSUEL</w:t>
            </w:r>
          </w:p>
        </w:tc>
        <w:tc>
          <w:tcPr>
            <w:tcW w:type="dxa" w:w="1872"/>
          </w:tcPr>
          <w:p>
            <w:r>
              <w:rPr>
                <w:b/>
              </w:rPr>
              <w:t>19,000</w:t>
            </w:r>
          </w:p>
        </w:tc>
        <w:tc>
          <w:tcPr>
            <w:tcW w:type="dxa" w:w="1872"/>
          </w:tcPr>
          <w:p>
            <w:r>
              <w:rPr>
                <w:b/>
              </w:rPr>
              <w:t>25,200</w:t>
            </w:r>
          </w:p>
        </w:tc>
        <w:tc>
          <w:tcPr>
            <w:tcW w:type="dxa" w:w="1872"/>
          </w:tcPr>
          <w:p>
            <w:r>
              <w:rPr>
                <w:b/>
              </w:rPr>
              <w:t>33,400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</w:p>
        </w:tc>
      </w:tr>
    </w:tbl>
    <w:p>
      <w:pPr>
        <w:pStyle w:val="Heading2"/>
        <w:spacing w:before="240" w:after="120"/>
      </w:pPr>
      <w:r>
        <w:rPr>
          <w:b/>
          <w:color w:val="0058BE"/>
          <w:sz w:val="28"/>
        </w:rPr>
        <w:t>Notes Budgétaires</w:t>
      </w:r>
    </w:p>
    <w:p>
      <w:pPr>
        <w:pStyle w:val="ListBullet"/>
        <w:spacing w:after="60"/>
      </w:pPr>
      <w:r>
        <w:t>M1-M3: Phase Test &amp; Learn - budget bas, testing channels</w:t>
      </w:r>
    </w:p>
    <w:p>
      <w:pPr>
        <w:pStyle w:val="ListBullet"/>
        <w:spacing w:after="60"/>
      </w:pPr>
      <w:r>
        <w:t>M4-M6: Growth Phase - identification winners, scaler budgets</w:t>
      </w:r>
    </w:p>
    <w:p>
      <w:pPr>
        <w:pStyle w:val="ListBullet"/>
        <w:spacing w:after="60"/>
      </w:pPr>
      <w:r>
        <w:t>M7-M12: Scale Phase - focus on highest-CAC channels, optimize</w:t>
      </w:r>
    </w:p>
    <w:p>
      <w:pPr>
        <w:pStyle w:val="ListBullet"/>
        <w:spacing w:after="60"/>
      </w:pPr>
      <w:r>
        <w:t>Imprévus: réserver 10% du budget total pour opportunités</w:t>
      </w:r>
    </w:p>
    <w:p>
      <w:pPr>
        <w:pStyle w:val="ListBullet"/>
        <w:spacing w:after="60"/>
      </w:pPr>
      <w:r>
        <w:t>Team costs NOT included: assumer 1 FTE mktg + 0.5 FTE sales existant</w:t>
      </w:r>
    </w:p>
    <w:p>
      <w:pPr>
        <w:pStyle w:val="Heading2"/>
        <w:spacing w:before="240" w:after="120"/>
      </w:pPr>
      <w:r>
        <w:rPr>
          <w:b/>
          <w:color w:val="0058BE"/>
          <w:sz w:val="28"/>
        </w:rPr>
        <w:t>Budget Cumulative 12 Mois</w:t>
      </w:r>
    </w:p>
    <w:p>
      <w:pPr>
        <w:pStyle w:val="ListBullet"/>
        <w:spacing w:after="60"/>
      </w:pPr>
      <w:r>
        <w:t>M1-M3: €57K</w:t>
      </w:r>
    </w:p>
    <w:p>
      <w:pPr>
        <w:pStyle w:val="ListBullet"/>
        <w:spacing w:after="60"/>
      </w:pPr>
      <w:r>
        <w:t>M4-M6: €75.6K</w:t>
      </w:r>
    </w:p>
    <w:p>
      <w:pPr>
        <w:pStyle w:val="ListBullet"/>
        <w:spacing w:after="60"/>
      </w:pPr>
      <w:r>
        <w:t>M7-M12: €200.4K</w:t>
      </w:r>
    </w:p>
    <w:p>
      <w:pPr>
        <w:pStyle w:val="ListBullet"/>
        <w:spacing w:after="60"/>
      </w:pPr>
      <w:r>
        <w:t>TOTAL 2026: €333K</w:t>
      </w:r>
    </w:p>
    <w:p>
      <w:pPr>
        <w:spacing w:after="120"/>
      </w:pPr>
      <w:r>
        <w:rPr>
          <w:b w:val="0"/>
          <w:i/>
          <w:sz w:val="22"/>
        </w:rPr>
        <w:t>Ce budget vise ROI de 3-4x en année 2 (LTV:CAC 5:1).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color w:val="00288E"/>
          <w:sz w:val="36"/>
        </w:rPr>
        <w:t>8. KPIs et Métriques de Succès</w:t>
      </w:r>
    </w:p>
    <w:p>
      <w:pPr>
        <w:pStyle w:val="Heading2"/>
        <w:spacing w:before="240" w:after="120"/>
      </w:pPr>
      <w:r>
        <w:rPr>
          <w:b/>
          <w:color w:val="0058BE"/>
          <w:sz w:val="28"/>
        </w:rPr>
        <w:t>A. Tableau de Bord Acquisition (Top-Level)</w:t>
      </w:r>
    </w:p>
    <w:p>
      <w:pPr>
        <w:spacing w:after="80"/>
      </w:pPr>
      <w:r>
        <w:rPr>
          <w:b/>
        </w:rPr>
        <w:t xml:space="preserve">Leads Sourcés: </w:t>
      </w:r>
      <w:r>
        <w:t>Consultants + Enterprises (all channels)</w:t>
      </w:r>
    </w:p>
    <w:p>
      <w:pPr>
        <w:spacing w:after="80"/>
      </w:pPr>
      <w:r>
        <w:rPr>
          <w:b/>
        </w:rPr>
        <w:t xml:space="preserve">Signup Rate: </w:t>
      </w:r>
      <w:r>
        <w:t>% leads → sign up / total leads</w:t>
      </w:r>
    </w:p>
    <w:p>
      <w:pPr>
        <w:spacing w:after="80"/>
      </w:pPr>
      <w:r>
        <w:rPr>
          <w:b/>
        </w:rPr>
        <w:t xml:space="preserve">Trial → Paid Conversion: </w:t>
      </w:r>
      <w:r>
        <w:t>% trialists qui deviennent paying customers</w:t>
      </w:r>
    </w:p>
    <w:p>
      <w:pPr>
        <w:spacing w:after="80"/>
      </w:pPr>
      <w:r>
        <w:rPr>
          <w:b/>
        </w:rPr>
        <w:t xml:space="preserve">CAC (Cost per Acquisition): </w:t>
      </w:r>
      <w:r>
        <w:t>Total marketing spend / new paying customers</w:t>
      </w:r>
    </w:p>
    <w:p>
      <w:pPr>
        <w:spacing w:after="80"/>
      </w:pPr>
      <w:r>
        <w:rPr>
          <w:b/>
        </w:rPr>
        <w:t xml:space="preserve">MRR (Monthly Recurring Revenue): </w:t>
      </w:r>
      <w:r>
        <w:t>Revenue prévisible (Entreprises abos seulement)</w:t>
      </w:r>
    </w:p>
    <w:p>
      <w:pPr>
        <w:spacing w:after="80"/>
      </w:pPr>
      <w:r>
        <w:rPr>
          <w:b/>
        </w:rPr>
        <w:t xml:space="preserve">ARR (Annual Recurring Revenue): </w:t>
      </w:r>
      <w:r>
        <w:t>MRR × 12</w:t>
      </w:r>
    </w:p>
    <w:p>
      <w:pPr>
        <w:spacing w:after="80"/>
      </w:pPr>
      <w:r>
        <w:rPr>
          <w:b/>
        </w:rPr>
        <w:t xml:space="preserve">Churn Rate: </w:t>
      </w:r>
      <w:r>
        <w:t>% customers annulent par mois</w:t>
      </w:r>
    </w:p>
    <w:p>
      <w:pPr>
        <w:spacing w:after="80"/>
      </w:pPr>
      <w:r>
        <w:rPr>
          <w:b/>
        </w:rPr>
        <w:t xml:space="preserve">LTV (Lifetime Value): </w:t>
      </w:r>
      <w:r>
        <w:t>Moyenne revenue par customer sur durée vie</w:t>
      </w:r>
    </w:p>
    <w:p>
      <w:pPr>
        <w:pStyle w:val="Heading2"/>
        <w:spacing w:before="240" w:after="120"/>
      </w:pPr>
      <w:r>
        <w:rPr>
          <w:b/>
          <w:color w:val="0058BE"/>
          <w:sz w:val="28"/>
        </w:rPr>
        <w:t>B. Métriques par Canal</w:t>
      </w:r>
    </w:p>
    <w:p>
      <w:pPr>
        <w:pStyle w:val="Heading3"/>
        <w:spacing w:before="240" w:after="120"/>
      </w:pPr>
      <w:r>
        <w:rPr>
          <w:b/>
          <w:color w:val="0058BE"/>
          <w:sz w:val="24"/>
        </w:rPr>
        <w:t>SEO &amp; Blog</w:t>
      </w:r>
    </w:p>
    <w:p>
      <w:pPr>
        <w:pStyle w:val="ListBullet"/>
        <w:spacing w:after="60"/>
      </w:pPr>
      <w:r>
        <w:t>Organic traffic mensuel (Google Analytics)</w:t>
      </w:r>
    </w:p>
    <w:p>
      <w:pPr>
        <w:pStyle w:val="ListBullet"/>
        <w:spacing w:after="60"/>
      </w:pPr>
      <w:r>
        <w:t>Blog article views (target: 200 views/article min)</w:t>
      </w:r>
    </w:p>
    <w:p>
      <w:pPr>
        <w:pStyle w:val="ListBullet"/>
        <w:spacing w:after="60"/>
      </w:pPr>
      <w:r>
        <w:t>Lead gen via blog: % signups from organic</w:t>
      </w:r>
    </w:p>
    <w:p>
      <w:pPr>
        <w:pStyle w:val="ListBullet"/>
        <w:spacing w:after="60"/>
      </w:pPr>
      <w:r>
        <w:t>Keyword rankings top 3 (20+ keywords)</w:t>
      </w:r>
    </w:p>
    <w:p>
      <w:pPr>
        <w:pStyle w:val="ListBullet"/>
        <w:spacing w:after="60"/>
      </w:pPr>
      <w:r>
        <w:t>Content ROI: revenue from organic / content cost</w:t>
      </w:r>
    </w:p>
    <w:p>
      <w:pPr>
        <w:pStyle w:val="Heading3"/>
        <w:spacing w:before="240" w:after="120"/>
      </w:pPr>
      <w:r>
        <w:rPr>
          <w:b/>
          <w:color w:val="0058BE"/>
          <w:sz w:val="24"/>
        </w:rPr>
        <w:t>LinkedIn Ads</w:t>
      </w:r>
    </w:p>
    <w:p>
      <w:pPr>
        <w:pStyle w:val="ListBullet"/>
        <w:spacing w:after="60"/>
      </w:pPr>
      <w:r>
        <w:t>Cost per click (CPC): €0.50-1.00 target</w:t>
      </w:r>
    </w:p>
    <w:p>
      <w:pPr>
        <w:pStyle w:val="ListBullet"/>
        <w:spacing w:after="60"/>
      </w:pPr>
      <w:r>
        <w:t>Click-through rate (CTR): 2-4%</w:t>
      </w:r>
    </w:p>
    <w:p>
      <w:pPr>
        <w:pStyle w:val="ListBullet"/>
        <w:spacing w:after="60"/>
      </w:pPr>
      <w:r>
        <w:t>Cost per lead (CPL): €15-25</w:t>
      </w:r>
    </w:p>
    <w:p>
      <w:pPr>
        <w:pStyle w:val="ListBullet"/>
        <w:spacing w:after="60"/>
      </w:pPr>
      <w:r>
        <w:t>Conversion rate (lead → signup): 30-50%</w:t>
      </w:r>
    </w:p>
    <w:p>
      <w:pPr>
        <w:pStyle w:val="ListBullet"/>
        <w:spacing w:after="60"/>
      </w:pPr>
      <w:r>
        <w:t>Return on Ad Spend (ROAS): 2-3x target</w:t>
      </w:r>
    </w:p>
    <w:p>
      <w:pPr>
        <w:pStyle w:val="Heading3"/>
        <w:spacing w:before="240" w:after="120"/>
      </w:pPr>
      <w:r>
        <w:rPr>
          <w:b/>
          <w:color w:val="0058BE"/>
          <w:sz w:val="24"/>
        </w:rPr>
        <w:t>Google Ads</w:t>
      </w:r>
    </w:p>
    <w:p>
      <w:pPr>
        <w:pStyle w:val="ListBullet"/>
        <w:spacing w:after="60"/>
      </w:pPr>
      <w:r>
        <w:t>Quality Score: 7-10 (high quality)</w:t>
      </w:r>
    </w:p>
    <w:p>
      <w:pPr>
        <w:pStyle w:val="ListBullet"/>
        <w:spacing w:after="60"/>
      </w:pPr>
      <w:r>
        <w:t>Cost per acquisition (CPA): €30-50 target</w:t>
      </w:r>
    </w:p>
    <w:p>
      <w:pPr>
        <w:pStyle w:val="ListBullet"/>
        <w:spacing w:after="60"/>
      </w:pPr>
      <w:r>
        <w:t>Conversion rate: 4-6%</w:t>
      </w:r>
    </w:p>
    <w:p>
      <w:pPr>
        <w:pStyle w:val="ListBullet"/>
        <w:spacing w:after="60"/>
      </w:pPr>
      <w:r>
        <w:t>Cost per click (CPC): €1-3 (high-intent)</w:t>
      </w:r>
    </w:p>
    <w:p>
      <w:pPr>
        <w:pStyle w:val="ListBullet"/>
        <w:spacing w:after="60"/>
      </w:pPr>
      <w:r>
        <w:t>ROAS: 3-4x target</w:t>
      </w:r>
    </w:p>
    <w:p>
      <w:pPr>
        <w:pStyle w:val="Heading3"/>
        <w:spacing w:before="240" w:after="120"/>
      </w:pPr>
      <w:r>
        <w:rPr>
          <w:b/>
          <w:color w:val="0058BE"/>
          <w:sz w:val="24"/>
        </w:rPr>
        <w:t>Email Marketing</w:t>
      </w:r>
    </w:p>
    <w:p>
      <w:pPr>
        <w:pStyle w:val="ListBullet"/>
        <w:spacing w:after="60"/>
      </w:pPr>
      <w:r>
        <w:t>Open rate: 25-30% (industry standard 20%)</w:t>
      </w:r>
    </w:p>
    <w:p>
      <w:pPr>
        <w:pStyle w:val="ListBullet"/>
        <w:spacing w:after="60"/>
      </w:pPr>
      <w:r>
        <w:t>Click rate: 4-6%</w:t>
      </w:r>
    </w:p>
    <w:p>
      <w:pPr>
        <w:pStyle w:val="ListBullet"/>
        <w:spacing w:after="60"/>
      </w:pPr>
      <w:r>
        <w:t>Unsubscribe rate: &lt; 0.5%</w:t>
      </w:r>
    </w:p>
    <w:p>
      <w:pPr>
        <w:pStyle w:val="ListBullet"/>
        <w:spacing w:after="60"/>
      </w:pPr>
      <w:r>
        <w:t>Conversion (email → signup): 8-12%</w:t>
      </w:r>
    </w:p>
    <w:p>
      <w:pPr>
        <w:pStyle w:val="ListBullet"/>
        <w:spacing w:after="60"/>
      </w:pPr>
      <w:r>
        <w:t>Revenue per email sent: €0.01-0.05</w:t>
      </w:r>
    </w:p>
    <w:p>
      <w:pPr>
        <w:pStyle w:val="Heading2"/>
        <w:spacing w:before="240" w:after="120"/>
      </w:pPr>
      <w:r>
        <w:rPr>
          <w:b/>
          <w:color w:val="0058BE"/>
          <w:sz w:val="28"/>
        </w:rPr>
        <w:t>C. Métriques Produit &amp; Engagement</w:t>
      </w:r>
    </w:p>
    <w:p>
      <w:pPr>
        <w:spacing w:after="80"/>
      </w:pPr>
      <w:r>
        <w:rPr>
          <w:b/>
        </w:rPr>
        <w:t xml:space="preserve">Daily Active Users (DAU): </w:t>
      </w:r>
      <w:r>
        <w:t>Utilisateurs actifs chaque jour</w:t>
      </w:r>
    </w:p>
    <w:p>
      <w:pPr>
        <w:spacing w:after="80"/>
      </w:pPr>
      <w:r>
        <w:rPr>
          <w:b/>
        </w:rPr>
        <w:t xml:space="preserve">Monthly Active Users (MAU): </w:t>
      </w:r>
      <w:r>
        <w:t>Utilisateurs actifs chaque mois (MAU/signups: 40%+ target)</w:t>
      </w:r>
    </w:p>
    <w:p>
      <w:pPr>
        <w:spacing w:after="80"/>
      </w:pPr>
      <w:r>
        <w:rPr>
          <w:b/>
        </w:rPr>
        <w:t xml:space="preserve">Session Duration moyenne: </w:t>
      </w:r>
      <w:r>
        <w:t>Temps moyen par session (target: 8-15 mins)</w:t>
      </w:r>
    </w:p>
    <w:p>
      <w:pPr>
        <w:spacing w:after="80"/>
      </w:pPr>
      <w:r>
        <w:rPr>
          <w:b/>
        </w:rPr>
        <w:t xml:space="preserve">Feature adoption rate: </w:t>
      </w:r>
      <w:r>
        <w:t>% users qui utilisent matching, messaging, reviews</w:t>
      </w:r>
    </w:p>
    <w:p>
      <w:pPr>
        <w:spacing w:after="80"/>
      </w:pPr>
      <w:r>
        <w:rPr>
          <w:b/>
        </w:rPr>
        <w:t xml:space="preserve">Consultant match success rate: </w:t>
      </w:r>
      <w:r>
        <w:t>% matches acceptés / proposés</w:t>
      </w:r>
    </w:p>
    <w:p>
      <w:pPr>
        <w:spacing w:after="80"/>
      </w:pPr>
      <w:r>
        <w:rPr>
          <w:b/>
        </w:rPr>
        <w:t xml:space="preserve">Project completion rate: </w:t>
      </w:r>
      <w:r>
        <w:t>% projets complétés avec avis positif</w:t>
      </w:r>
    </w:p>
    <w:p>
      <w:pPr>
        <w:spacing w:after="80"/>
      </w:pPr>
      <w:r>
        <w:rPr>
          <w:b/>
        </w:rPr>
        <w:t xml:space="preserve">Net Promoter Score (NPS): </w:t>
      </w:r>
      <w:r>
        <w:t>Promoteurs - Détracteurs (target: 40+)</w:t>
      </w:r>
    </w:p>
    <w:p>
      <w:pPr>
        <w:spacing w:after="80"/>
      </w:pPr>
      <w:r>
        <w:rPr>
          <w:b/>
        </w:rPr>
        <w:t xml:space="preserve">Time to first match: </w:t>
      </w:r>
      <w:r>
        <w:t>Jours avant 1er match pour consultant (target: 1-3j)</w:t>
      </w:r>
    </w:p>
    <w:p>
      <w:pPr>
        <w:pStyle w:val="Heading2"/>
        <w:spacing w:before="240" w:after="120"/>
      </w:pPr>
      <w:r>
        <w:rPr>
          <w:b/>
          <w:color w:val="0058BE"/>
          <w:sz w:val="28"/>
        </w:rPr>
        <w:t>D. Tableau Cibles - 12 Mois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Métrique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M3</w:t>
            </w:r>
          </w:p>
        </w:tc>
        <w:tc>
          <w:tcPr>
            <w:tcW w:type="dxa" w:w="1872"/>
          </w:tcPr>
          <w:p>
            <w:r>
              <w:rPr>
                <w:b/>
              </w:rPr>
              <w:t>M6</w:t>
            </w:r>
          </w:p>
        </w:tc>
        <w:tc>
          <w:tcPr>
            <w:tcW w:type="dxa" w:w="1872"/>
          </w:tcPr>
          <w:p>
            <w:r>
              <w:rPr>
                <w:b/>
              </w:rPr>
              <w:t>M12</w:t>
            </w:r>
          </w:p>
        </w:tc>
        <w:tc>
          <w:tcPr>
            <w:tcW w:type="dxa" w:w="1872"/>
          </w:tcPr>
          <w:p>
            <w:r>
              <w:rPr>
                <w:b/>
              </w:rPr>
              <w:t>Formule</w:t>
            </w:r>
          </w:p>
        </w:tc>
      </w:tr>
      <w:tr>
        <w:tc>
          <w:tcPr>
            <w:tcW w:type="dxa" w:w="1872"/>
          </w:tcPr>
          <w:p>
            <w:r>
              <w:t>Leads Sourcés</w:t>
            </w:r>
          </w:p>
        </w:tc>
        <w:tc>
          <w:tcPr>
            <w:tcW w:type="dxa" w:w="1872"/>
          </w:tcPr>
          <w:p>
            <w:r>
              <w:t>300</w:t>
            </w:r>
          </w:p>
        </w:tc>
        <w:tc>
          <w:tcPr>
            <w:tcW w:type="dxa" w:w="1872"/>
          </w:tcPr>
          <w:p>
            <w:r>
              <w:t>600</w:t>
            </w:r>
          </w:p>
        </w:tc>
        <w:tc>
          <w:tcPr>
            <w:tcW w:type="dxa" w:w="1872"/>
          </w:tcPr>
          <w:p>
            <w:r>
              <w:t>1200</w:t>
            </w:r>
          </w:p>
        </w:tc>
        <w:tc>
          <w:tcPr>
            <w:tcW w:type="dxa" w:w="1872"/>
          </w:tcPr>
          <w:p>
            <w:r>
              <w:t>All channels combined</w:t>
            </w:r>
          </w:p>
        </w:tc>
      </w:tr>
      <w:tr>
        <w:tc>
          <w:tcPr>
            <w:tcW w:type="dxa" w:w="1872"/>
          </w:tcPr>
          <w:p>
            <w:r>
              <w:t>Signups Totaux</w:t>
            </w:r>
          </w:p>
        </w:tc>
        <w:tc>
          <w:tcPr>
            <w:tcW w:type="dxa" w:w="1872"/>
          </w:tcPr>
          <w:p>
            <w:r>
              <w:t>150</w:t>
            </w:r>
          </w:p>
        </w:tc>
        <w:tc>
          <w:tcPr>
            <w:tcW w:type="dxa" w:w="1872"/>
          </w:tcPr>
          <w:p>
            <w:r>
              <w:t>400</w:t>
            </w:r>
          </w:p>
        </w:tc>
        <w:tc>
          <w:tcPr>
            <w:tcW w:type="dxa" w:w="1872"/>
          </w:tcPr>
          <w:p>
            <w:r>
              <w:t>900</w:t>
            </w:r>
          </w:p>
        </w:tc>
        <w:tc>
          <w:tcPr>
            <w:tcW w:type="dxa" w:w="1872"/>
          </w:tcPr>
          <w:p>
            <w:r>
              <w:t>50% lead conversion</w:t>
            </w:r>
          </w:p>
        </w:tc>
      </w:tr>
      <w:tr>
        <w:tc>
          <w:tcPr>
            <w:tcW w:type="dxa" w:w="1872"/>
          </w:tcPr>
          <w:p>
            <w:r>
              <w:t>Paid Customers</w:t>
            </w:r>
          </w:p>
        </w:tc>
        <w:tc>
          <w:tcPr>
            <w:tcW w:type="dxa" w:w="1872"/>
          </w:tcPr>
          <w:p>
            <w:r>
              <w:t>50</w:t>
            </w:r>
          </w:p>
        </w:tc>
        <w:tc>
          <w:tcPr>
            <w:tcW w:type="dxa" w:w="1872"/>
          </w:tcPr>
          <w:p>
            <w:r>
              <w:t>150</w:t>
            </w:r>
          </w:p>
        </w:tc>
        <w:tc>
          <w:tcPr>
            <w:tcW w:type="dxa" w:w="1872"/>
          </w:tcPr>
          <w:p>
            <w:r>
              <w:t>350</w:t>
            </w:r>
          </w:p>
        </w:tc>
        <w:tc>
          <w:tcPr>
            <w:tcW w:type="dxa" w:w="1872"/>
          </w:tcPr>
          <w:p>
            <w:r>
              <w:t>30% trial → paid</w:t>
            </w:r>
          </w:p>
        </w:tc>
      </w:tr>
      <w:tr>
        <w:tc>
          <w:tcPr>
            <w:tcW w:type="dxa" w:w="1872"/>
          </w:tcPr>
          <w:p>
            <w:r>
              <w:t>MRR</w:t>
            </w:r>
          </w:p>
        </w:tc>
        <w:tc>
          <w:tcPr>
            <w:tcW w:type="dxa" w:w="1872"/>
          </w:tcPr>
          <w:p>
            <w:r>
              <w:t>€8K</w:t>
            </w:r>
          </w:p>
        </w:tc>
        <w:tc>
          <w:tcPr>
            <w:tcW w:type="dxa" w:w="1872"/>
          </w:tcPr>
          <w:p>
            <w:r>
              <w:t>€24K</w:t>
            </w:r>
          </w:p>
        </w:tc>
        <w:tc>
          <w:tcPr>
            <w:tcW w:type="dxa" w:w="1872"/>
          </w:tcPr>
          <w:p>
            <w:r>
              <w:t>€50K</w:t>
            </w:r>
          </w:p>
        </w:tc>
        <w:tc>
          <w:tcPr>
            <w:tcW w:type="dxa" w:w="1872"/>
          </w:tcPr>
          <w:p>
            <w:r>
              <w:t>Avg €70/cust/mo</w:t>
            </w:r>
          </w:p>
        </w:tc>
      </w:tr>
      <w:tr>
        <w:tc>
          <w:tcPr>
            <w:tcW w:type="dxa" w:w="1872"/>
          </w:tcPr>
          <w:p>
            <w:r>
              <w:t>CAC Moyen</w:t>
            </w:r>
          </w:p>
        </w:tc>
        <w:tc>
          <w:tcPr>
            <w:tcW w:type="dxa" w:w="1872"/>
          </w:tcPr>
          <w:p>
            <w:r>
              <w:t>€50</w:t>
            </w:r>
          </w:p>
        </w:tc>
        <w:tc>
          <w:tcPr>
            <w:tcW w:type="dxa" w:w="1872"/>
          </w:tcPr>
          <w:p>
            <w:r>
              <w:t>€40</w:t>
            </w:r>
          </w:p>
        </w:tc>
        <w:tc>
          <w:tcPr>
            <w:tcW w:type="dxa" w:w="1872"/>
          </w:tcPr>
          <w:p>
            <w:r>
              <w:t>€35</w:t>
            </w:r>
          </w:p>
        </w:tc>
        <w:tc>
          <w:tcPr>
            <w:tcW w:type="dxa" w:w="1872"/>
          </w:tcPr>
          <w:p>
            <w:r>
              <w:t>Improve with scale</w:t>
            </w:r>
          </w:p>
        </w:tc>
      </w:tr>
      <w:tr>
        <w:tc>
          <w:tcPr>
            <w:tcW w:type="dxa" w:w="1872"/>
          </w:tcPr>
          <w:p>
            <w:r>
              <w:t>NPS Score</w:t>
            </w:r>
          </w:p>
        </w:tc>
        <w:tc>
          <w:tcPr>
            <w:tcW w:type="dxa" w:w="1872"/>
          </w:tcPr>
          <w:p>
            <w:r>
              <w:t>35</w:t>
            </w:r>
          </w:p>
        </w:tc>
        <w:tc>
          <w:tcPr>
            <w:tcW w:type="dxa" w:w="1872"/>
          </w:tcPr>
          <w:p>
            <w:r>
              <w:t>40</w:t>
            </w:r>
          </w:p>
        </w:tc>
        <w:tc>
          <w:tcPr>
            <w:tcW w:type="dxa" w:w="1872"/>
          </w:tcPr>
          <w:p>
            <w:r>
              <w:t>45</w:t>
            </w:r>
          </w:p>
        </w:tc>
        <w:tc>
          <w:tcPr>
            <w:tcW w:type="dxa" w:w="1872"/>
          </w:tcPr>
          <w:p>
            <w:r>
              <w:t>Benchmark: tech SaaS 40+</w:t>
            </w:r>
          </w:p>
        </w:tc>
      </w:tr>
    </w:tbl>
    <w:p>
      <w:pPr>
        <w:pStyle w:val="Heading2"/>
        <w:spacing w:before="240" w:after="120"/>
      </w:pPr>
      <w:r>
        <w:rPr>
          <w:b/>
          <w:color w:val="0058BE"/>
          <w:sz w:val="28"/>
        </w:rPr>
        <w:t>E. Dashboard &amp; Reporting</w:t>
      </w:r>
    </w:p>
    <w:p>
      <w:pPr>
        <w:spacing w:after="120"/>
      </w:pPr>
      <w:r>
        <w:rPr>
          <w:b w:val="0"/>
          <w:i w:val="0"/>
          <w:sz w:val="22"/>
        </w:rPr>
        <w:t>Cadence rapportage recommandée:</w:t>
      </w:r>
    </w:p>
    <w:p>
      <w:pPr>
        <w:spacing w:after="80"/>
      </w:pPr>
      <w:r>
        <w:rPr>
          <w:b/>
        </w:rPr>
        <w:t xml:space="preserve">Daily: </w:t>
      </w:r>
      <w:r>
        <w:t>Lead volume, ad spend, CAC (Slack automated)</w:t>
      </w:r>
    </w:p>
    <w:p>
      <w:pPr>
        <w:spacing w:after="80"/>
      </w:pPr>
      <w:r>
        <w:rPr>
          <w:b/>
        </w:rPr>
        <w:t xml:space="preserve">Weekly: </w:t>
      </w:r>
      <w:r>
        <w:t>Channel performance, conversion funnels (meeting interne)</w:t>
      </w:r>
    </w:p>
    <w:p>
      <w:pPr>
        <w:spacing w:after="80"/>
      </w:pPr>
      <w:r>
        <w:rPr>
          <w:b/>
        </w:rPr>
        <w:t xml:space="preserve">Monthly: </w:t>
      </w:r>
      <w:r>
        <w:t>Full KPI review, budget optimization, strategy adjustments</w:t>
      </w:r>
    </w:p>
    <w:p>
      <w:pPr>
        <w:spacing w:after="80"/>
      </w:pPr>
      <w:r>
        <w:rPr>
          <w:b/>
        </w:rPr>
        <w:t xml:space="preserve">Quarterly: </w:t>
      </w:r>
      <w:r>
        <w:t>Board-level review, market analysis, product roadmap impact</w:t>
      </w:r>
    </w:p>
    <w:p>
      <w:pPr>
        <w:pStyle w:val="Heading2"/>
        <w:spacing w:before="240" w:after="120"/>
      </w:pPr>
      <w:r>
        <w:rPr>
          <w:b/>
          <w:color w:val="0058BE"/>
          <w:sz w:val="28"/>
        </w:rPr>
        <w:t>F. Success Thresholds</w:t>
      </w:r>
    </w:p>
    <w:p>
      <w:pPr>
        <w:spacing w:after="120"/>
      </w:pPr>
      <w:r>
        <w:rPr>
          <w:b w:val="0"/>
          <w:i w:val="0"/>
          <w:sz w:val="22"/>
        </w:rPr>
        <w:t>Arrêter/Scaler criteria par canal:</w:t>
      </w:r>
    </w:p>
    <w:p>
      <w:pPr>
        <w:pStyle w:val="ListBullet"/>
        <w:spacing w:after="60"/>
      </w:pPr>
      <w:r>
        <w:t>STOP channel si: CAC &gt; €100 OU conversion &lt; 1% OU trending downward 4+ weeks</w:t>
      </w:r>
    </w:p>
    <w:p>
      <w:pPr>
        <w:pStyle w:val="ListBullet"/>
        <w:spacing w:after="60"/>
      </w:pPr>
      <w:r>
        <w:t>SCALER channel si: ROAS &gt; 3x ET CAC &lt; €40 OU consistent positive trend</w:t>
      </w:r>
    </w:p>
    <w:p>
      <w:pPr>
        <w:pStyle w:val="ListBullet"/>
        <w:spacing w:after="60"/>
      </w:pPr>
      <w:r>
        <w:t>PIVOT messaging si: trial → paid &lt; 20% OU NPS &lt; 30 after 30 days</w:t>
      </w:r>
    </w:p>
    <w:p>
      <w:pPr>
        <w:pStyle w:val="ListBullet"/>
        <w:spacing w:after="60"/>
      </w:pPr>
      <w:r>
        <w:t>EXPAND market si: France LTV:CAC &gt; 5:1 → Belgium/Switzerland test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color w:val="00288E"/>
          <w:sz w:val="36"/>
        </w:rPr>
        <w:t>Conclusion</w:t>
      </w:r>
    </w:p>
    <w:p>
      <w:pPr>
        <w:spacing w:after="120"/>
      </w:pPr>
      <w:r>
        <w:rPr>
          <w:b w:val="0"/>
          <w:i w:val="0"/>
          <w:sz w:val="22"/>
        </w:rPr>
        <w:t>Cette stratégie d'acquisition pour ExpertERPHub 2026 repose sur trois piliers:</w:t>
      </w:r>
    </w:p>
    <w:p/>
    <w:p>
      <w:pPr>
        <w:pStyle w:val="ListBullet"/>
        <w:spacing w:after="120"/>
      </w:pPr>
      <w:r>
        <w:rPr>
          <w:sz w:val="22"/>
        </w:rPr>
        <w:t>Multi-canal approach: répartir risque, tester rapidement, scaler winners</w:t>
      </w:r>
    </w:p>
    <w:p>
      <w:pPr>
        <w:pStyle w:val="ListBullet"/>
        <w:spacing w:after="120"/>
      </w:pPr>
      <w:r>
        <w:rPr>
          <w:sz w:val="22"/>
        </w:rPr>
        <w:t>Segment-specific messaging: parler language consultants vs enterprises</w:t>
      </w:r>
    </w:p>
    <w:p>
      <w:pPr>
        <w:pStyle w:val="ListBullet"/>
        <w:spacing w:after="120"/>
      </w:pPr>
      <w:r>
        <w:rPr>
          <w:sz w:val="22"/>
        </w:rPr>
        <w:t>Data-driven optimization: mesurer, analyser, ajuster chaque 2 semaines</w:t>
      </w:r>
    </w:p>
    <w:p/>
    <w:p>
      <w:pPr>
        <w:spacing w:after="120"/>
      </w:pPr>
      <w:r>
        <w:rPr>
          <w:b w:val="0"/>
          <w:i/>
          <w:sz w:val="22"/>
        </w:rPr>
        <w:t>En suivant ce plan, nous visons € 8K MRR au jour 90 et € 50K MRR au jour 365, avec un CAC moyen décroissant de €50 à €35 grâce à l'efficacité d'échelle et optimisations continues.</w:t>
      </w:r>
    </w:p>
    <w:p/>
    <w:p>
      <w:pPr>
        <w:spacing w:after="120"/>
      </w:pPr>
      <w:r>
        <w:rPr>
          <w:b w:val="0"/>
          <w:i w:val="0"/>
          <w:sz w:val="22"/>
        </w:rPr>
        <w:t>Prochaines étapes: approuver budget, recruiter marketing manager, lancer landing pages, démarrer fase 1 de test ads.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