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before="0" w:after="120"/>
        <w:jc w:val="center"/>
      </w:pPr>
      <w:r>
        <w:rPr>
          <w:rFonts w:ascii="Arial" w:hAnsi="Arial"/>
          <w:b/>
          <w:color w:val="00288E"/>
          <w:sz w:val="60"/>
        </w:rPr>
        <w:t>ExpertERPHub</w:t>
      </w:r>
    </w:p>
    <w:p>
      <w:pPr>
        <w:spacing w:before="0" w:after="120"/>
        <w:jc w:val="center"/>
      </w:pPr>
      <w:r>
        <w:rPr>
          <w:rFonts w:ascii="Arial" w:hAnsi="Arial"/>
          <w:b/>
          <w:color w:val="0058BE"/>
          <w:sz w:val="44"/>
        </w:rPr>
        <w:t>Roadmap Go-Live</w:t>
      </w:r>
    </w:p>
    <w:p>
      <w:pPr>
        <w:spacing w:before="0" w:after="480"/>
        <w:jc w:val="center"/>
      </w:pPr>
      <w:r>
        <w:rPr>
          <w:rFonts w:ascii="Arial" w:hAnsi="Arial"/>
          <w:b w:val="0"/>
          <w:color w:val="6B7280"/>
          <w:sz w:val="24"/>
        </w:rPr>
        <w:t>Audit complet &amp; Plan Agile par Sprints</w:t>
      </w:r>
    </w:p>
    <w:p>
      <w:pPr>
        <w:jc w:val="center"/>
        <w:pBdr>
          <w:bottom w:val="single" w:sz="8" w:color="00F4FE" w:space="1"/>
        </w:pBdr>
      </w:pPr>
    </w:p>
    <w:p/>
    <w:p/>
    <w:p/>
    <w:p>
      <w:pPr>
        <w:spacing w:before="0" w:after="120"/>
        <w:jc w:val="center"/>
      </w:pPr>
      <w:r>
        <w:rPr>
          <w:rFonts w:ascii="Arial" w:hAnsi="Arial"/>
          <w:b w:val="0"/>
          <w:color w:val="6B7280"/>
          <w:sz w:val="22"/>
        </w:rPr>
        <w:t>Mars 2026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6B7280"/>
          <w:sz w:val="18"/>
        </w:rPr>
        <w:t>Document confidentiel — Usage interne</w:t>
      </w:r>
    </w:p>
    <w:p>
      <w:r>
        <w:br w:type="page"/>
      </w:r>
    </w:p>
    <w:p>
      <w:pPr>
        <w:pStyle w:val="Heading1"/>
      </w:pPr>
      <w:r>
        <w:t>Sommaire Exécutif</w:t>
      </w:r>
    </w:p>
    <w:p>
      <w:pPr>
        <w:spacing w:before="0" w:after="120"/>
      </w:pPr>
      <w:r>
        <w:rPr>
          <w:rFonts w:ascii="Arial" w:hAnsi="Arial"/>
          <w:b w:val="0"/>
          <w:sz w:val="20"/>
        </w:rPr>
        <w:t>Ce document présente l'analyse complète de la plateforme ExpertERPHub et le plan d'action agile pour atteindre le Go-Live. Il couvre l'état actuel du code, les lacunes fonctionnelles, la sécurité, la conformité légale, et définit 6 sprints concrets pour être prêt à approcher consultants et entreprises.</w:t>
      </w:r>
    </w:p>
    <w:p>
      <w:pPr>
        <w:pStyle w:val="Heading2"/>
      </w:pPr>
      <w:r>
        <w:t>État actuel de la plateforme</w:t>
      </w:r>
    </w:p>
    <w:p>
      <w:pPr>
        <w:pStyle w:val="ListBullet"/>
        <w:spacing w:after="60"/>
      </w:pPr>
      <w:r>
        <w:rPr>
          <w:rFonts w:ascii="Arial" w:hAnsi="Arial"/>
          <w:b/>
          <w:color w:val="00288E"/>
          <w:sz w:val="20"/>
        </w:rPr>
        <w:t xml:space="preserve">20 fichiers sources </w:t>
      </w:r>
      <w:r>
        <w:rPr>
          <w:rFonts w:ascii="Arial" w:hAnsi="Arial"/>
          <w:color w:val="6B7280"/>
          <w:sz w:val="20"/>
        </w:rPr>
        <w:t>(HTML, JS, CSS) pour environ 16 300 lignes de code</w:t>
      </w:r>
    </w:p>
    <w:p>
      <w:pPr>
        <w:pStyle w:val="ListBullet"/>
        <w:spacing w:after="60"/>
      </w:pPr>
      <w:r>
        <w:rPr>
          <w:rFonts w:ascii="Arial" w:hAnsi="Arial"/>
          <w:b/>
          <w:color w:val="00288E"/>
          <w:sz w:val="20"/>
        </w:rPr>
        <w:t xml:space="preserve">6 pages principales </w:t>
      </w:r>
      <w:r>
        <w:rPr>
          <w:rFonts w:ascii="Arial" w:hAnsi="Arial"/>
          <w:color w:val="6B7280"/>
          <w:sz w:val="20"/>
        </w:rPr>
        <w:t>fonctionnelles : index, consultant, 3 dashboards, inscription</w:t>
      </w:r>
    </w:p>
    <w:p>
      <w:pPr>
        <w:pStyle w:val="ListBullet"/>
        <w:spacing w:after="60"/>
      </w:pPr>
      <w:r>
        <w:rPr>
          <w:rFonts w:ascii="Arial" w:hAnsi="Arial"/>
          <w:b/>
          <w:color w:val="00288E"/>
          <w:sz w:val="20"/>
        </w:rPr>
        <w:t xml:space="preserve">3 pages légales </w:t>
      </w:r>
      <w:r>
        <w:rPr>
          <w:rFonts w:ascii="Arial" w:hAnsi="Arial"/>
          <w:color w:val="6B7280"/>
          <w:sz w:val="20"/>
        </w:rPr>
        <w:t>présentes (conditions, confidentialité, mentions)</w:t>
      </w:r>
    </w:p>
    <w:p>
      <w:pPr>
        <w:pStyle w:val="ListBullet"/>
        <w:spacing w:after="60"/>
      </w:pPr>
      <w:r>
        <w:rPr>
          <w:rFonts w:ascii="Arial" w:hAnsi="Arial"/>
          <w:b/>
          <w:color w:val="00288E"/>
          <w:sz w:val="20"/>
        </w:rPr>
        <w:t xml:space="preserve">Backend Supabase </w:t>
      </w:r>
      <w:r>
        <w:rPr>
          <w:rFonts w:ascii="Arial" w:hAnsi="Arial"/>
          <w:color w:val="6B7280"/>
          <w:sz w:val="20"/>
        </w:rPr>
        <w:t>configuré avec 3 tables (consultants, entreprises, notifications)</w:t>
      </w:r>
    </w:p>
    <w:p>
      <w:pPr>
        <w:pStyle w:val="ListBullet"/>
        <w:spacing w:after="60"/>
      </w:pPr>
      <w:r>
        <w:rPr>
          <w:rFonts w:ascii="Arial" w:hAnsi="Arial"/>
          <w:b/>
          <w:color w:val="00288E"/>
          <w:sz w:val="20"/>
        </w:rPr>
        <w:t xml:space="preserve">i18n FR/EN </w:t>
      </w:r>
      <w:r>
        <w:rPr>
          <w:rFonts w:ascii="Arial" w:hAnsi="Arial"/>
          <w:color w:val="6B7280"/>
          <w:sz w:val="20"/>
        </w:rPr>
        <w:t>implémenté avec 200+ clés de traduction</w:t>
      </w:r>
    </w:p>
    <w:p>
      <w:pPr>
        <w:pStyle w:val="ListBullet"/>
        <w:spacing w:after="60"/>
      </w:pPr>
      <w:r>
        <w:rPr>
          <w:rFonts w:ascii="Arial" w:hAnsi="Arial"/>
          <w:b/>
          <w:color w:val="00288E"/>
          <w:sz w:val="20"/>
        </w:rPr>
        <w:t xml:space="preserve">Déploiement Vercel </w:t>
      </w:r>
      <w:r>
        <w:rPr>
          <w:rFonts w:ascii="Arial" w:hAnsi="Arial"/>
          <w:color w:val="6B7280"/>
          <w:sz w:val="20"/>
        </w:rPr>
        <w:t>automatique depuis la branche main</w:t>
      </w:r>
    </w:p>
    <w:p>
      <w:pPr>
        <w:pStyle w:val="Heading2"/>
      </w:pPr>
      <w:r>
        <w:t>Verdict Go-Live</w:t>
      </w:r>
    </w:p>
    <w:p>
      <w:pPr>
        <w:spacing w:before="0" w:after="120"/>
      </w:pPr>
      <w:r>
        <w:rPr>
          <w:rFonts w:ascii="Arial" w:hAnsi="Arial"/>
          <w:b/>
          <w:color w:val="0F172A"/>
          <w:sz w:val="20"/>
        </w:rPr>
        <w:t>La plateforme a une base solide (design pro, fonctionnalités de base, i18n) mais n'est PAS prête pour un lancement commercial. Voici les points bloquants :</w:t>
      </w:r>
    </w:p>
    <w:p>
      <w:pPr>
        <w:pStyle w:val="ListBullet"/>
        <w:spacing w:after="60"/>
      </w:pPr>
      <w:r>
        <w:rPr>
          <w:rFonts w:ascii="Arial" w:hAnsi="Arial"/>
          <w:b/>
          <w:color w:val="00288E"/>
          <w:sz w:val="20"/>
        </w:rPr>
        <w:t xml:space="preserve">Paiement Stripe </w:t>
      </w:r>
      <w:r>
        <w:rPr>
          <w:rFonts w:ascii="Arial" w:hAnsi="Arial"/>
          <w:color w:val="6B7280"/>
          <w:sz w:val="20"/>
        </w:rPr>
        <w:t>non intégré — impossible de facturer les abonnés</w:t>
      </w:r>
    </w:p>
    <w:p>
      <w:pPr>
        <w:pStyle w:val="ListBullet"/>
        <w:spacing w:after="60"/>
      </w:pPr>
      <w:r>
        <w:rPr>
          <w:rFonts w:ascii="Arial" w:hAnsi="Arial"/>
          <w:b/>
          <w:color w:val="00288E"/>
          <w:sz w:val="20"/>
        </w:rPr>
        <w:t xml:space="preserve">Système email </w:t>
      </w:r>
      <w:r>
        <w:rPr>
          <w:rFonts w:ascii="Arial" w:hAnsi="Arial"/>
          <w:color w:val="6B7280"/>
          <w:sz w:val="20"/>
        </w:rPr>
        <w:t>absent — aucune notification par email (seulement in-app)</w:t>
      </w:r>
    </w:p>
    <w:p>
      <w:pPr>
        <w:pStyle w:val="ListBullet"/>
        <w:spacing w:after="60"/>
      </w:pPr>
      <w:r>
        <w:rPr>
          <w:rFonts w:ascii="Arial" w:hAnsi="Arial"/>
          <w:b/>
          <w:color w:val="00288E"/>
          <w:sz w:val="20"/>
        </w:rPr>
        <w:t xml:space="preserve">Profils test </w:t>
      </w:r>
      <w:r>
        <w:rPr>
          <w:rFonts w:ascii="Arial" w:hAnsi="Arial"/>
          <w:color w:val="6B7280"/>
          <w:sz w:val="20"/>
        </w:rPr>
        <w:t>encore présents — données non professionnelles visibles</w:t>
      </w:r>
    </w:p>
    <w:p>
      <w:pPr>
        <w:pStyle w:val="ListBullet"/>
        <w:spacing w:after="60"/>
      </w:pPr>
      <w:r>
        <w:rPr>
          <w:rFonts w:ascii="Arial" w:hAnsi="Arial"/>
          <w:b/>
          <w:color w:val="00288E"/>
          <w:sz w:val="20"/>
        </w:rPr>
        <w:t xml:space="preserve">Sécurité </w:t>
      </w:r>
      <w:r>
        <w:rPr>
          <w:rFonts w:ascii="Arial" w:hAnsi="Arial"/>
          <w:color w:val="6B7280"/>
          <w:sz w:val="20"/>
        </w:rPr>
        <w:t>SHA-256 sans sel, pas de rate limiting, RLS permissives</w:t>
      </w:r>
    </w:p>
    <w:p>
      <w:pPr>
        <w:pStyle w:val="ListBullet"/>
        <w:spacing w:after="60"/>
      </w:pPr>
      <w:r>
        <w:rPr>
          <w:rFonts w:ascii="Arial" w:hAnsi="Arial"/>
          <w:b/>
          <w:color w:val="00288E"/>
          <w:sz w:val="20"/>
        </w:rPr>
        <w:t xml:space="preserve">Mentions légales </w:t>
      </w:r>
      <w:r>
        <w:rPr>
          <w:rFonts w:ascii="Arial" w:hAnsi="Arial"/>
          <w:color w:val="6B7280"/>
          <w:sz w:val="20"/>
        </w:rPr>
        <w:t>adresse et téléphone à compléter</w:t>
      </w:r>
    </w:p>
    <w:p>
      <w:r>
        <w:br w:type="page"/>
      </w:r>
    </w:p>
    <w:p>
      <w:pPr>
        <w:pStyle w:val="Heading1"/>
      </w:pPr>
      <w:r>
        <w:t>Partie 1 — Audit Complet</w:t>
      </w:r>
    </w:p>
    <w:p>
      <w:pPr>
        <w:pStyle w:val="Heading2"/>
      </w:pPr>
      <w:r>
        <w:t>1.1 Inventaire technique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00288E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Composant</w:t>
            </w:r>
          </w:p>
        </w:tc>
        <w:tc>
          <w:tcPr>
            <w:tcW w:type="dxa" w:w="1008"/>
            <w:shd w:fill="00288E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Statut</w:t>
            </w:r>
          </w:p>
        </w:tc>
        <w:tc>
          <w:tcPr>
            <w:tcW w:type="dxa" w:w="1008"/>
            <w:shd w:fill="00288E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Priorité</w:t>
            </w:r>
          </w:p>
        </w:tc>
        <w:tc>
          <w:tcPr>
            <w:tcW w:type="dxa" w:w="5184"/>
            <w:shd w:fill="00288E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Détail</w:t>
            </w:r>
          </w:p>
        </w:tc>
      </w:tr>
      <w:tr>
        <w:tc>
          <w:tcPr>
            <w:tcW w:type="dxa" w:w="2160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Pages HTML (6+3+2)</w:t>
            </w:r>
          </w:p>
        </w:tc>
        <w:tc>
          <w:tcPr>
            <w:tcW w:type="dxa" w:w="1008"/>
            <w:shd w:fill="F0F4FF"/>
          </w:tcPr>
          <w:p>
            <w:r/>
            <w:r>
              <w:rPr>
                <w:rFonts w:ascii="Arial" w:hAnsi="Arial"/>
                <w:b/>
                <w:color w:val="16A34A"/>
                <w:sz w:val="16"/>
              </w:rPr>
              <w:t>OK</w:t>
            </w:r>
          </w:p>
        </w:tc>
        <w:tc>
          <w:tcPr>
            <w:tcW w:type="dxa" w:w="1008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N/A</w:t>
            </w:r>
          </w:p>
        </w:tc>
        <w:tc>
          <w:tcPr>
            <w:tcW w:type="dxa" w:w="5184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index, consultant, 3 dashboards, inscription, 3 legal, reset, recovery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color w:val="0F172A"/>
                <w:sz w:val="16"/>
              </w:rPr>
              <w:t>Fichiers JS (8)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/>
                <w:color w:val="16A34A"/>
                <w:sz w:val="16"/>
              </w:rPr>
              <w:t>OK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color w:val="0F172A"/>
                <w:sz w:val="16"/>
              </w:rPr>
              <w:t>N/A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color w:val="0F172A"/>
                <w:sz w:val="16"/>
              </w:rPr>
              <w:t>config, supabase-helpers, portal-auth, utils, notifications, inscription, cookie-consent, i18n</w:t>
            </w:r>
          </w:p>
        </w:tc>
      </w:tr>
      <w:tr>
        <w:tc>
          <w:tcPr>
            <w:tcW w:type="dxa" w:w="2160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Fichiers CSS</w:t>
            </w:r>
          </w:p>
        </w:tc>
        <w:tc>
          <w:tcPr>
            <w:tcW w:type="dxa" w:w="1008"/>
            <w:shd w:fill="F0F4FF"/>
          </w:tcPr>
          <w:p>
            <w:r/>
            <w:r>
              <w:rPr>
                <w:rFonts w:ascii="Arial" w:hAnsi="Arial"/>
                <w:b/>
                <w:color w:val="F59E0B"/>
                <w:sz w:val="16"/>
              </w:rPr>
              <w:t>PARTIEL</w:t>
            </w:r>
          </w:p>
        </w:tc>
        <w:tc>
          <w:tcPr>
            <w:tcW w:type="dxa" w:w="1008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Basse</w:t>
            </w:r>
          </w:p>
        </w:tc>
        <w:tc>
          <w:tcPr>
            <w:tcW w:type="dxa" w:w="5184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sovereign-authority.css vide, CSS inline dans HTML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color w:val="0F172A"/>
                <w:sz w:val="16"/>
              </w:rPr>
              <w:t>Assets (images)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/>
                <w:color w:val="F59E0B"/>
                <w:sz w:val="16"/>
              </w:rPr>
              <w:t>PARTIEL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color w:val="0F172A"/>
                <w:sz w:val="16"/>
              </w:rPr>
              <w:t>Moyenne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color w:val="0F172A"/>
                <w:sz w:val="16"/>
              </w:rPr>
              <w:t>9 logos ERP SVG, 1 image hero PNG. Manque favicon, og:image</w:t>
            </w:r>
          </w:p>
        </w:tc>
      </w:tr>
      <w:tr>
        <w:tc>
          <w:tcPr>
            <w:tcW w:type="dxa" w:w="2160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Config déploiement</w:t>
            </w:r>
          </w:p>
        </w:tc>
        <w:tc>
          <w:tcPr>
            <w:tcW w:type="dxa" w:w="1008"/>
            <w:shd w:fill="F0F4FF"/>
          </w:tcPr>
          <w:p>
            <w:r/>
            <w:r>
              <w:rPr>
                <w:rFonts w:ascii="Arial" w:hAnsi="Arial"/>
                <w:b/>
                <w:color w:val="16A34A"/>
                <w:sz w:val="16"/>
              </w:rPr>
              <w:t>OK</w:t>
            </w:r>
          </w:p>
        </w:tc>
        <w:tc>
          <w:tcPr>
            <w:tcW w:type="dxa" w:w="1008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N/A</w:t>
            </w:r>
          </w:p>
        </w:tc>
        <w:tc>
          <w:tcPr>
            <w:tcW w:type="dxa" w:w="5184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vercel.json, _headers, _redirects, .vercelignore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color w:val="0F172A"/>
                <w:sz w:val="16"/>
              </w:rPr>
              <w:t>.gitignore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/>
                <w:color w:val="DC2626"/>
                <w:sz w:val="16"/>
              </w:rPr>
              <w:t>MANQUANT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color w:val="0F172A"/>
                <w:sz w:val="16"/>
              </w:rPr>
              <w:t>Haute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color w:val="0F172A"/>
                <w:sz w:val="16"/>
              </w:rPr>
              <w:t>Aucun .gitignore — fichiers backup trackés par git</w:t>
            </w:r>
          </w:p>
        </w:tc>
      </w:tr>
      <w:tr>
        <w:tc>
          <w:tcPr>
            <w:tcW w:type="dxa" w:w="2160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robots.txt / sitemap.xml</w:t>
            </w:r>
          </w:p>
        </w:tc>
        <w:tc>
          <w:tcPr>
            <w:tcW w:type="dxa" w:w="1008"/>
            <w:shd w:fill="F0F4FF"/>
          </w:tcPr>
          <w:p>
            <w:r/>
            <w:r>
              <w:rPr>
                <w:rFonts w:ascii="Arial" w:hAnsi="Arial"/>
                <w:b/>
                <w:color w:val="DC2626"/>
                <w:sz w:val="16"/>
              </w:rPr>
              <w:t>MANQUANT</w:t>
            </w:r>
          </w:p>
        </w:tc>
        <w:tc>
          <w:tcPr>
            <w:tcW w:type="dxa" w:w="1008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Moyenne</w:t>
            </w:r>
          </w:p>
        </w:tc>
        <w:tc>
          <w:tcPr>
            <w:tcW w:type="dxa" w:w="5184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SEO non optimisé, crawlers sans guide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color w:val="0F172A"/>
                <w:sz w:val="16"/>
              </w:rPr>
              <w:t>favicon.ico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/>
                <w:color w:val="DC2626"/>
                <w:sz w:val="16"/>
              </w:rPr>
              <w:t>MANQUANT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color w:val="0F172A"/>
                <w:sz w:val="16"/>
              </w:rPr>
              <w:t>Haute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color w:val="0F172A"/>
                <w:sz w:val="16"/>
              </w:rPr>
              <w:t>Erreur 404 visible dans la console</w:t>
            </w:r>
          </w:p>
        </w:tc>
      </w:tr>
    </w:tbl>
    <w:p>
      <w:pPr>
        <w:pStyle w:val="Heading2"/>
      </w:pPr>
      <w:r>
        <w:t>1.2 Sécurité &amp; Authentification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00288E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Composant</w:t>
            </w:r>
          </w:p>
        </w:tc>
        <w:tc>
          <w:tcPr>
            <w:tcW w:type="dxa" w:w="1008"/>
            <w:shd w:fill="00288E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Statut</w:t>
            </w:r>
          </w:p>
        </w:tc>
        <w:tc>
          <w:tcPr>
            <w:tcW w:type="dxa" w:w="1008"/>
            <w:shd w:fill="00288E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Priorité</w:t>
            </w:r>
          </w:p>
        </w:tc>
        <w:tc>
          <w:tcPr>
            <w:tcW w:type="dxa" w:w="5184"/>
            <w:shd w:fill="00288E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Détail</w:t>
            </w:r>
          </w:p>
        </w:tc>
      </w:tr>
      <w:tr>
        <w:tc>
          <w:tcPr>
            <w:tcW w:type="dxa" w:w="2160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Clé Supabase</w:t>
            </w:r>
          </w:p>
        </w:tc>
        <w:tc>
          <w:tcPr>
            <w:tcW w:type="dxa" w:w="1008"/>
            <w:shd w:fill="F0F4FF"/>
          </w:tcPr>
          <w:p>
            <w:r/>
            <w:r>
              <w:rPr>
                <w:rFonts w:ascii="Arial" w:hAnsi="Arial"/>
                <w:b/>
                <w:color w:val="16A34A"/>
                <w:sz w:val="16"/>
              </w:rPr>
              <w:t>OK</w:t>
            </w:r>
          </w:p>
        </w:tc>
        <w:tc>
          <w:tcPr>
            <w:tcW w:type="dxa" w:w="1008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N/A</w:t>
            </w:r>
          </w:p>
        </w:tc>
        <w:tc>
          <w:tcPr>
            <w:tcW w:type="dxa" w:w="5184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Clé publishable (anon) — sécuritaire côté client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color w:val="0F172A"/>
                <w:sz w:val="16"/>
              </w:rPr>
              <w:t>Hashage mot de passe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/>
                <w:color w:val="DC2626"/>
                <w:sz w:val="16"/>
              </w:rPr>
              <w:t>CRITIQUE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color w:val="DC2626"/>
                <w:sz w:val="16"/>
              </w:rPr>
              <w:t>Bloquant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color w:val="0F172A"/>
                <w:sz w:val="16"/>
              </w:rPr>
              <w:t>SHA-256 sans sel — vulnérable aux rainbow tables. Migrer vers Supabase Auth (bcrypt)</w:t>
            </w:r>
          </w:p>
        </w:tc>
      </w:tr>
      <w:tr>
        <w:tc>
          <w:tcPr>
            <w:tcW w:type="dxa" w:w="2160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Rate limiting login</w:t>
            </w:r>
          </w:p>
        </w:tc>
        <w:tc>
          <w:tcPr>
            <w:tcW w:type="dxa" w:w="1008"/>
            <w:shd w:fill="F0F4FF"/>
          </w:tcPr>
          <w:p>
            <w:r/>
            <w:r>
              <w:rPr>
                <w:rFonts w:ascii="Arial" w:hAnsi="Arial"/>
                <w:b/>
                <w:color w:val="DC2626"/>
                <w:sz w:val="16"/>
              </w:rPr>
              <w:t>MANQUANT</w:t>
            </w:r>
          </w:p>
        </w:tc>
        <w:tc>
          <w:tcPr>
            <w:tcW w:type="dxa" w:w="1008"/>
            <w:shd w:fill="F0F4FF"/>
          </w:tcPr>
          <w:p>
            <w:r/>
            <w:r>
              <w:rPr>
                <w:rFonts w:ascii="Arial" w:hAnsi="Arial"/>
                <w:color w:val="DC2626"/>
                <w:sz w:val="16"/>
              </w:rPr>
              <w:t>Bloquant</w:t>
            </w:r>
          </w:p>
        </w:tc>
        <w:tc>
          <w:tcPr>
            <w:tcW w:type="dxa" w:w="5184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Attaques brute force possibles — aucune limite de tentatives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color w:val="0F172A"/>
                <w:sz w:val="16"/>
              </w:rPr>
              <w:t>Protection CSRF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/>
                <w:color w:val="DC2626"/>
                <w:sz w:val="16"/>
              </w:rPr>
              <w:t>MANQUANT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color w:val="0F172A"/>
                <w:sz w:val="16"/>
              </w:rPr>
              <w:t>Haute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color w:val="0F172A"/>
                <w:sz w:val="16"/>
              </w:rPr>
              <w:t>Formulaires sans token anti-CSRF</w:t>
            </w:r>
          </w:p>
        </w:tc>
      </w:tr>
      <w:tr>
        <w:tc>
          <w:tcPr>
            <w:tcW w:type="dxa" w:w="2160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Session (localStorage)</w:t>
            </w:r>
          </w:p>
        </w:tc>
        <w:tc>
          <w:tcPr>
            <w:tcW w:type="dxa" w:w="1008"/>
            <w:shd w:fill="F0F4FF"/>
          </w:tcPr>
          <w:p>
            <w:r/>
            <w:r>
              <w:rPr>
                <w:rFonts w:ascii="Arial" w:hAnsi="Arial"/>
                <w:b/>
                <w:color w:val="F59E0B"/>
                <w:sz w:val="16"/>
              </w:rPr>
              <w:t>PARTIEL</w:t>
            </w:r>
          </w:p>
        </w:tc>
        <w:tc>
          <w:tcPr>
            <w:tcW w:type="dxa" w:w="1008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Moyenne</w:t>
            </w:r>
          </w:p>
        </w:tc>
        <w:tc>
          <w:tcPr>
            <w:tcW w:type="dxa" w:w="5184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TTL 8h, pas de validation serveur, vulnérable si XSS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color w:val="0F172A"/>
                <w:sz w:val="16"/>
              </w:rPr>
              <w:t>RLS Supabase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/>
                <w:color w:val="F59E0B"/>
                <w:sz w:val="16"/>
              </w:rPr>
              <w:t>PARTIEL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color w:val="0F172A"/>
                <w:sz w:val="16"/>
              </w:rPr>
              <w:t>Haute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color w:val="0F172A"/>
                <w:sz w:val="16"/>
              </w:rPr>
              <w:t>Politiques permissives — à durcir avant Go-Live</w:t>
            </w:r>
          </w:p>
        </w:tc>
      </w:tr>
      <w:tr>
        <w:tc>
          <w:tcPr>
            <w:tcW w:type="dxa" w:w="2160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XSS (sanitizeHtml)</w:t>
            </w:r>
          </w:p>
        </w:tc>
        <w:tc>
          <w:tcPr>
            <w:tcW w:type="dxa" w:w="1008"/>
            <w:shd w:fill="F0F4FF"/>
          </w:tcPr>
          <w:p>
            <w:r/>
            <w:r>
              <w:rPr>
                <w:rFonts w:ascii="Arial" w:hAnsi="Arial"/>
                <w:b/>
                <w:color w:val="16A34A"/>
                <w:sz w:val="16"/>
              </w:rPr>
              <w:t>OK</w:t>
            </w:r>
          </w:p>
        </w:tc>
        <w:tc>
          <w:tcPr>
            <w:tcW w:type="dxa" w:w="1008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N/A</w:t>
            </w:r>
          </w:p>
        </w:tc>
        <w:tc>
          <w:tcPr>
            <w:tcW w:type="dxa" w:w="5184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Fonction safe() dans utils.js couvre les cas de base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color w:val="0F172A"/>
                <w:sz w:val="16"/>
              </w:rPr>
              <w:t>ACCESS_TOKEN_SECRET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/>
                <w:color w:val="DC2626"/>
                <w:sz w:val="16"/>
              </w:rPr>
              <w:t>CRITIQUE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color w:val="0F172A"/>
                <w:sz w:val="16"/>
              </w:rPr>
              <w:t>Haute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color w:val="0F172A"/>
                <w:sz w:val="16"/>
              </w:rPr>
              <w:t>Hardcodée dans consultant.html — déplacer en variable d'env</w:t>
            </w:r>
          </w:p>
        </w:tc>
      </w:tr>
      <w:tr>
        <w:tc>
          <w:tcPr>
            <w:tcW w:type="dxa" w:w="2160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Fallback credentials</w:t>
            </w:r>
          </w:p>
        </w:tc>
        <w:tc>
          <w:tcPr>
            <w:tcW w:type="dxa" w:w="1008"/>
            <w:shd w:fill="F0F4FF"/>
          </w:tcPr>
          <w:p>
            <w:r/>
            <w:r>
              <w:rPr>
                <w:rFonts w:ascii="Arial" w:hAnsi="Arial"/>
                <w:b/>
                <w:color w:val="DC2626"/>
                <w:sz w:val="16"/>
              </w:rPr>
              <w:t>CRITIQUE</w:t>
            </w:r>
          </w:p>
        </w:tc>
        <w:tc>
          <w:tcPr>
            <w:tcW w:type="dxa" w:w="1008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Haute</w:t>
            </w:r>
          </w:p>
        </w:tc>
        <w:tc>
          <w:tcPr>
            <w:tcW w:type="dxa" w:w="5184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Clé Supabase dupliquée en fallback dans 2 fichiers dashboard</w:t>
            </w:r>
          </w:p>
        </w:tc>
      </w:tr>
    </w:tbl>
    <w:p>
      <w:pPr>
        <w:pStyle w:val="Heading2"/>
      </w:pPr>
      <w:r>
        <w:t>1.3 Fonctionnalités business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00288E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Composant</w:t>
            </w:r>
          </w:p>
        </w:tc>
        <w:tc>
          <w:tcPr>
            <w:tcW w:type="dxa" w:w="1008"/>
            <w:shd w:fill="00288E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Statut</w:t>
            </w:r>
          </w:p>
        </w:tc>
        <w:tc>
          <w:tcPr>
            <w:tcW w:type="dxa" w:w="1008"/>
            <w:shd w:fill="00288E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Priorité</w:t>
            </w:r>
          </w:p>
        </w:tc>
        <w:tc>
          <w:tcPr>
            <w:tcW w:type="dxa" w:w="5184"/>
            <w:shd w:fill="00288E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Détail</w:t>
            </w:r>
          </w:p>
        </w:tc>
      </w:tr>
      <w:tr>
        <w:tc>
          <w:tcPr>
            <w:tcW w:type="dxa" w:w="2160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Inscription consultant</w:t>
            </w:r>
          </w:p>
        </w:tc>
        <w:tc>
          <w:tcPr>
            <w:tcW w:type="dxa" w:w="1008"/>
            <w:shd w:fill="F0F4FF"/>
          </w:tcPr>
          <w:p>
            <w:r/>
            <w:r>
              <w:rPr>
                <w:rFonts w:ascii="Arial" w:hAnsi="Arial"/>
                <w:b/>
                <w:color w:val="16A34A"/>
                <w:sz w:val="16"/>
              </w:rPr>
              <w:t>OK</w:t>
            </w:r>
          </w:p>
        </w:tc>
        <w:tc>
          <w:tcPr>
            <w:tcW w:type="dxa" w:w="1008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N/A</w:t>
            </w:r>
          </w:p>
        </w:tc>
        <w:tc>
          <w:tcPr>
            <w:tcW w:type="dxa" w:w="5184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Formulaire multi-étapes fonctionnel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color w:val="0F172A"/>
                <w:sz w:val="16"/>
              </w:rPr>
              <w:t>Inscription entreprise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/>
                <w:color w:val="16A34A"/>
                <w:sz w:val="16"/>
              </w:rPr>
              <w:t>OK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color w:val="0F172A"/>
                <w:sz w:val="16"/>
              </w:rPr>
              <w:t>N/A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color w:val="0F172A"/>
                <w:sz w:val="16"/>
              </w:rPr>
              <w:t>2 étapes (info + plan) fonctionnel</w:t>
            </w:r>
          </w:p>
        </w:tc>
      </w:tr>
      <w:tr>
        <w:tc>
          <w:tcPr>
            <w:tcW w:type="dxa" w:w="2160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Inscription Visiteur Pro</w:t>
            </w:r>
          </w:p>
        </w:tc>
        <w:tc>
          <w:tcPr>
            <w:tcW w:type="dxa" w:w="1008"/>
            <w:shd w:fill="F0F4FF"/>
          </w:tcPr>
          <w:p>
            <w:r/>
            <w:r>
              <w:rPr>
                <w:rFonts w:ascii="Arial" w:hAnsi="Arial"/>
                <w:b/>
                <w:color w:val="16A34A"/>
                <w:sz w:val="16"/>
              </w:rPr>
              <w:t>OK</w:t>
            </w:r>
          </w:p>
        </w:tc>
        <w:tc>
          <w:tcPr>
            <w:tcW w:type="dxa" w:w="1008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N/A</w:t>
            </w:r>
          </w:p>
        </w:tc>
        <w:tc>
          <w:tcPr>
            <w:tcW w:type="dxa" w:w="5184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3 plans (10$/18$/25$) avec quota messages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color w:val="0F172A"/>
                <w:sz w:val="16"/>
              </w:rPr>
              <w:t>Dashboard consultant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/>
                <w:color w:val="16A34A"/>
                <w:sz w:val="16"/>
              </w:rPr>
              <w:t>OK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color w:val="0F172A"/>
                <w:sz w:val="16"/>
              </w:rPr>
              <w:t>N/A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color w:val="0F172A"/>
                <w:sz w:val="16"/>
              </w:rPr>
              <w:t>Profil, dispo, notifications, photo</w:t>
            </w:r>
          </w:p>
        </w:tc>
      </w:tr>
      <w:tr>
        <w:tc>
          <w:tcPr>
            <w:tcW w:type="dxa" w:w="2160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Dashboard entreprise</w:t>
            </w:r>
          </w:p>
        </w:tc>
        <w:tc>
          <w:tcPr>
            <w:tcW w:type="dxa" w:w="1008"/>
            <w:shd w:fill="F0F4FF"/>
          </w:tcPr>
          <w:p>
            <w:r/>
            <w:r>
              <w:rPr>
                <w:rFonts w:ascii="Arial" w:hAnsi="Arial"/>
                <w:b/>
                <w:color w:val="16A34A"/>
                <w:sz w:val="16"/>
              </w:rPr>
              <w:t>OK</w:t>
            </w:r>
          </w:p>
        </w:tc>
        <w:tc>
          <w:tcPr>
            <w:tcW w:type="dxa" w:w="1008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N/A</w:t>
            </w:r>
          </w:p>
        </w:tc>
        <w:tc>
          <w:tcPr>
            <w:tcW w:type="dxa" w:w="5184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Recherche, messages, équipe, profil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color w:val="0F172A"/>
                <w:sz w:val="16"/>
              </w:rPr>
              <w:t>Dashboard admin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/>
                <w:color w:val="F59E0B"/>
                <w:sz w:val="16"/>
              </w:rPr>
              <w:t>PARTIEL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color w:val="0F172A"/>
                <w:sz w:val="16"/>
              </w:rPr>
              <w:t>Moyenne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color w:val="0F172A"/>
                <w:sz w:val="16"/>
              </w:rPr>
              <w:t>Modération basique — manque analytics, gestion users, logs</w:t>
            </w:r>
          </w:p>
        </w:tc>
      </w:tr>
      <w:tr>
        <w:tc>
          <w:tcPr>
            <w:tcW w:type="dxa" w:w="2160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Paiement / Stripe</w:t>
            </w:r>
          </w:p>
        </w:tc>
        <w:tc>
          <w:tcPr>
            <w:tcW w:type="dxa" w:w="1008"/>
            <w:shd w:fill="F0F4FF"/>
          </w:tcPr>
          <w:p>
            <w:r/>
            <w:r>
              <w:rPr>
                <w:rFonts w:ascii="Arial" w:hAnsi="Arial"/>
                <w:b/>
                <w:color w:val="DC2626"/>
                <w:sz w:val="16"/>
              </w:rPr>
              <w:t>MANQUANT</w:t>
            </w:r>
          </w:p>
        </w:tc>
        <w:tc>
          <w:tcPr>
            <w:tcW w:type="dxa" w:w="1008"/>
            <w:shd w:fill="F0F4FF"/>
          </w:tcPr>
          <w:p>
            <w:r/>
            <w:r>
              <w:rPr>
                <w:rFonts w:ascii="Arial" w:hAnsi="Arial"/>
                <w:color w:val="DC2626"/>
                <w:sz w:val="16"/>
              </w:rPr>
              <w:t>Bloquant</w:t>
            </w:r>
          </w:p>
        </w:tc>
        <w:tc>
          <w:tcPr>
            <w:tcW w:type="dxa" w:w="5184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Schéma SQL prêt, ZERO intégration UI/API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color w:val="0F172A"/>
                <w:sz w:val="16"/>
              </w:rPr>
              <w:t>Emails transactionnels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/>
                <w:color w:val="DC2626"/>
                <w:sz w:val="16"/>
              </w:rPr>
              <w:t>MANQUANT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color w:val="DC2626"/>
                <w:sz w:val="16"/>
              </w:rPr>
              <w:t>Bloquant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color w:val="0F172A"/>
                <w:sz w:val="16"/>
              </w:rPr>
              <w:t>Aucun provider — notifications in-app seulement</w:t>
            </w:r>
          </w:p>
        </w:tc>
      </w:tr>
      <w:tr>
        <w:tc>
          <w:tcPr>
            <w:tcW w:type="dxa" w:w="2160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Profils consultants</w:t>
            </w:r>
          </w:p>
        </w:tc>
        <w:tc>
          <w:tcPr>
            <w:tcW w:type="dxa" w:w="1008"/>
            <w:shd w:fill="F0F4FF"/>
          </w:tcPr>
          <w:p>
            <w:r/>
            <w:r>
              <w:rPr>
                <w:rFonts w:ascii="Arial" w:hAnsi="Arial"/>
                <w:b/>
                <w:color w:val="F59E0B"/>
                <w:sz w:val="16"/>
              </w:rPr>
              <w:t>PARTIEL</w:t>
            </w:r>
          </w:p>
        </w:tc>
        <w:tc>
          <w:tcPr>
            <w:tcW w:type="dxa" w:w="1008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Haute</w:t>
            </w:r>
          </w:p>
        </w:tc>
        <w:tc>
          <w:tcPr>
            <w:tcW w:type="dxa" w:w="5184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Données test visibles, photos non professionnelles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color w:val="0F172A"/>
                <w:sz w:val="16"/>
              </w:rPr>
              <w:t>Page pricing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/>
                <w:color w:val="DC2626"/>
                <w:sz w:val="16"/>
              </w:rPr>
              <w:t>MANQUANT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color w:val="0F172A"/>
                <w:sz w:val="16"/>
              </w:rPr>
              <w:t>Haute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color w:val="0F172A"/>
                <w:sz w:val="16"/>
              </w:rPr>
              <w:t>Aucune page tarifs pour convaincre les prospects</w:t>
            </w:r>
          </w:p>
        </w:tc>
      </w:tr>
      <w:tr>
        <w:tc>
          <w:tcPr>
            <w:tcW w:type="dxa" w:w="2160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Témoignages</w:t>
            </w:r>
          </w:p>
        </w:tc>
        <w:tc>
          <w:tcPr>
            <w:tcW w:type="dxa" w:w="1008"/>
            <w:shd w:fill="F0F4FF"/>
          </w:tcPr>
          <w:p>
            <w:r/>
            <w:r>
              <w:rPr>
                <w:rFonts w:ascii="Arial" w:hAnsi="Arial"/>
                <w:b/>
                <w:color w:val="DC2626"/>
                <w:sz w:val="16"/>
              </w:rPr>
              <w:t>MANQUANT</w:t>
            </w:r>
          </w:p>
        </w:tc>
        <w:tc>
          <w:tcPr>
            <w:tcW w:type="dxa" w:w="1008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Haute</w:t>
            </w:r>
          </w:p>
        </w:tc>
        <w:tc>
          <w:tcPr>
            <w:tcW w:type="dxa" w:w="5184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Aucune preuve sociale sur le site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color w:val="0F172A"/>
                <w:sz w:val="16"/>
              </w:rPr>
              <w:t>OAuth Google/Outlook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/>
                <w:color w:val="DC2626"/>
                <w:sz w:val="16"/>
              </w:rPr>
              <w:t>MANQUANT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color w:val="0F172A"/>
                <w:sz w:val="16"/>
              </w:rPr>
              <w:t>Basse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color w:val="0F172A"/>
                <w:sz w:val="16"/>
              </w:rPr>
              <w:t>Noté pour le futur — pas bloquant pour le MVP</w:t>
            </w:r>
          </w:p>
        </w:tc>
      </w:tr>
    </w:tbl>
    <w:p>
      <w:pPr>
        <w:pStyle w:val="Heading2"/>
      </w:pPr>
      <w:r>
        <w:t>1.4 Contenu &amp; SEO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00288E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Composant</w:t>
            </w:r>
          </w:p>
        </w:tc>
        <w:tc>
          <w:tcPr>
            <w:tcW w:type="dxa" w:w="1008"/>
            <w:shd w:fill="00288E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Statut</w:t>
            </w:r>
          </w:p>
        </w:tc>
        <w:tc>
          <w:tcPr>
            <w:tcW w:type="dxa" w:w="1008"/>
            <w:shd w:fill="00288E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Priorité</w:t>
            </w:r>
          </w:p>
        </w:tc>
        <w:tc>
          <w:tcPr>
            <w:tcW w:type="dxa" w:w="5184"/>
            <w:shd w:fill="00288E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Détail</w:t>
            </w:r>
          </w:p>
        </w:tc>
      </w:tr>
      <w:tr>
        <w:tc>
          <w:tcPr>
            <w:tcW w:type="dxa" w:w="2160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Meta tags (title, desc)</w:t>
            </w:r>
          </w:p>
        </w:tc>
        <w:tc>
          <w:tcPr>
            <w:tcW w:type="dxa" w:w="1008"/>
            <w:shd w:fill="F0F4FF"/>
          </w:tcPr>
          <w:p>
            <w:r/>
            <w:r>
              <w:rPr>
                <w:rFonts w:ascii="Arial" w:hAnsi="Arial"/>
                <w:b/>
                <w:color w:val="16A34A"/>
                <w:sz w:val="16"/>
              </w:rPr>
              <w:t>OK</w:t>
            </w:r>
          </w:p>
        </w:tc>
        <w:tc>
          <w:tcPr>
            <w:tcW w:type="dxa" w:w="1008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N/A</w:t>
            </w:r>
          </w:p>
        </w:tc>
        <w:tc>
          <w:tcPr>
            <w:tcW w:type="dxa" w:w="5184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Présents sur index.html avec og:title, twitter:card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color w:val="0F172A"/>
                <w:sz w:val="16"/>
              </w:rPr>
              <w:t>og:image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/>
                <w:color w:val="DC2626"/>
                <w:sz w:val="16"/>
              </w:rPr>
              <w:t>MANQUANT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color w:val="0F172A"/>
                <w:sz w:val="16"/>
              </w:rPr>
              <w:t>Moyenne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color w:val="0F172A"/>
                <w:sz w:val="16"/>
              </w:rPr>
              <w:t>Pas de preview image pour partage social</w:t>
            </w:r>
          </w:p>
        </w:tc>
      </w:tr>
      <w:tr>
        <w:tc>
          <w:tcPr>
            <w:tcW w:type="dxa" w:w="2160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Canonical URL</w:t>
            </w:r>
          </w:p>
        </w:tc>
        <w:tc>
          <w:tcPr>
            <w:tcW w:type="dxa" w:w="1008"/>
            <w:shd w:fill="F0F4FF"/>
          </w:tcPr>
          <w:p>
            <w:r/>
            <w:r>
              <w:rPr>
                <w:rFonts w:ascii="Arial" w:hAnsi="Arial"/>
                <w:b/>
                <w:color w:val="DC2626"/>
                <w:sz w:val="16"/>
              </w:rPr>
              <w:t>MANQUANT</w:t>
            </w:r>
          </w:p>
        </w:tc>
        <w:tc>
          <w:tcPr>
            <w:tcW w:type="dxa" w:w="1008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Moyenne</w:t>
            </w:r>
          </w:p>
        </w:tc>
        <w:tc>
          <w:tcPr>
            <w:tcW w:type="dxa" w:w="5184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Risque de contenu dupliqué pour les moteurs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color w:val="0F172A"/>
                <w:sz w:val="16"/>
              </w:rPr>
              <w:t>Mentions légales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/>
                <w:color w:val="F59E0B"/>
                <w:sz w:val="16"/>
              </w:rPr>
              <w:t>PARTIEL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color w:val="0F172A"/>
                <w:sz w:val="16"/>
              </w:rPr>
              <w:t>Haute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color w:val="0F172A"/>
                <w:sz w:val="16"/>
              </w:rPr>
              <w:t>Adresse et téléphone marqués « À compléter »</w:t>
            </w:r>
          </w:p>
        </w:tc>
      </w:tr>
      <w:tr>
        <w:tc>
          <w:tcPr>
            <w:tcW w:type="dxa" w:w="2160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Conditions d'utilisation</w:t>
            </w:r>
          </w:p>
        </w:tc>
        <w:tc>
          <w:tcPr>
            <w:tcW w:type="dxa" w:w="1008"/>
            <w:shd w:fill="F0F4FF"/>
          </w:tcPr>
          <w:p>
            <w:r/>
            <w:r>
              <w:rPr>
                <w:rFonts w:ascii="Arial" w:hAnsi="Arial"/>
                <w:b/>
                <w:color w:val="16A34A"/>
                <w:sz w:val="16"/>
              </w:rPr>
              <w:t>OK</w:t>
            </w:r>
          </w:p>
        </w:tc>
        <w:tc>
          <w:tcPr>
            <w:tcW w:type="dxa" w:w="1008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N/A</w:t>
            </w:r>
          </w:p>
        </w:tc>
        <w:tc>
          <w:tcPr>
            <w:tcW w:type="dxa" w:w="5184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Contenu complet en français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color w:val="0F172A"/>
                <w:sz w:val="16"/>
              </w:rPr>
              <w:t>Politique confidentialité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/>
                <w:color w:val="16A34A"/>
                <w:sz w:val="16"/>
              </w:rPr>
              <w:t>OK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color w:val="0F172A"/>
                <w:sz w:val="16"/>
              </w:rPr>
              <w:t>N/A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color w:val="0F172A"/>
                <w:sz w:val="16"/>
              </w:rPr>
              <w:t>Contenu RGPD/PIPEDA présent</w:t>
            </w:r>
          </w:p>
        </w:tc>
      </w:tr>
      <w:tr>
        <w:tc>
          <w:tcPr>
            <w:tcW w:type="dxa" w:w="2160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Cookie consent</w:t>
            </w:r>
          </w:p>
        </w:tc>
        <w:tc>
          <w:tcPr>
            <w:tcW w:type="dxa" w:w="1008"/>
            <w:shd w:fill="F0F4FF"/>
          </w:tcPr>
          <w:p>
            <w:r/>
            <w:r>
              <w:rPr>
                <w:rFonts w:ascii="Arial" w:hAnsi="Arial"/>
                <w:b/>
                <w:color w:val="16A34A"/>
                <w:sz w:val="16"/>
              </w:rPr>
              <w:t>OK</w:t>
            </w:r>
          </w:p>
        </w:tc>
        <w:tc>
          <w:tcPr>
            <w:tcW w:type="dxa" w:w="1008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N/A</w:t>
            </w:r>
          </w:p>
        </w:tc>
        <w:tc>
          <w:tcPr>
            <w:tcW w:type="dxa" w:w="5184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Bannière fonctionnelle FR/EN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color w:val="0F172A"/>
                <w:sz w:val="16"/>
              </w:rPr>
              <w:t>Console.log debug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/>
                <w:color w:val="F59E0B"/>
                <w:sz w:val="16"/>
              </w:rPr>
              <w:t>PARTIEL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color w:val="0F172A"/>
                <w:sz w:val="16"/>
              </w:rPr>
              <w:t>Basse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color w:val="0F172A"/>
                <w:sz w:val="16"/>
              </w:rPr>
              <w:t>12 console.log de debug à nettoyer</w:t>
            </w:r>
          </w:p>
        </w:tc>
      </w:tr>
      <w:tr>
        <w:tc>
          <w:tcPr>
            <w:tcW w:type="dxa" w:w="2160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Données RGPD (export/suppr)</w:t>
            </w:r>
          </w:p>
        </w:tc>
        <w:tc>
          <w:tcPr>
            <w:tcW w:type="dxa" w:w="1008"/>
            <w:shd w:fill="F0F4FF"/>
          </w:tcPr>
          <w:p>
            <w:r/>
            <w:r>
              <w:rPr>
                <w:rFonts w:ascii="Arial" w:hAnsi="Arial"/>
                <w:b/>
                <w:color w:val="DC2626"/>
                <w:sz w:val="16"/>
              </w:rPr>
              <w:t>MANQUANT</w:t>
            </w:r>
          </w:p>
        </w:tc>
        <w:tc>
          <w:tcPr>
            <w:tcW w:type="dxa" w:w="1008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Haute</w:t>
            </w:r>
          </w:p>
        </w:tc>
        <w:tc>
          <w:tcPr>
            <w:tcW w:type="dxa" w:w="5184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Pas de fonctionnalité export/suppression données</w:t>
            </w:r>
          </w:p>
        </w:tc>
      </w:tr>
    </w:tbl>
    <w:p>
      <w:pPr>
        <w:pStyle w:val="Heading2"/>
      </w:pPr>
      <w:r>
        <w:t>1.5 i18n (Internationalisation)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00288E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Composant</w:t>
            </w:r>
          </w:p>
        </w:tc>
        <w:tc>
          <w:tcPr>
            <w:tcW w:type="dxa" w:w="1008"/>
            <w:shd w:fill="00288E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Statut</w:t>
            </w:r>
          </w:p>
        </w:tc>
        <w:tc>
          <w:tcPr>
            <w:tcW w:type="dxa" w:w="1008"/>
            <w:shd w:fill="00288E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Priorité</w:t>
            </w:r>
          </w:p>
        </w:tc>
        <w:tc>
          <w:tcPr>
            <w:tcW w:type="dxa" w:w="5184"/>
            <w:shd w:fill="00288E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Détail</w:t>
            </w:r>
          </w:p>
        </w:tc>
      </w:tr>
      <w:tr>
        <w:tc>
          <w:tcPr>
            <w:tcW w:type="dxa" w:w="2160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Système i18n</w:t>
            </w:r>
          </w:p>
        </w:tc>
        <w:tc>
          <w:tcPr>
            <w:tcW w:type="dxa" w:w="1008"/>
            <w:shd w:fill="F0F4FF"/>
          </w:tcPr>
          <w:p>
            <w:r/>
            <w:r>
              <w:rPr>
                <w:rFonts w:ascii="Arial" w:hAnsi="Arial"/>
                <w:b/>
                <w:color w:val="16A34A"/>
                <w:sz w:val="16"/>
              </w:rPr>
              <w:t>OK</w:t>
            </w:r>
          </w:p>
        </w:tc>
        <w:tc>
          <w:tcPr>
            <w:tcW w:type="dxa" w:w="1008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N/A</w:t>
            </w:r>
          </w:p>
        </w:tc>
        <w:tc>
          <w:tcPr>
            <w:tcW w:type="dxa" w:w="5184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ExpertI18n + translations locales dans index.html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color w:val="0F172A"/>
                <w:sz w:val="16"/>
              </w:rPr>
              <w:t>index.html FR/EN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/>
                <w:color w:val="F59E0B"/>
                <w:sz w:val="16"/>
              </w:rPr>
              <w:t>PARTIEL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color w:val="0F172A"/>
                <w:sz w:val="16"/>
              </w:rPr>
              <w:t>Moyenne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color w:val="0F172A"/>
                <w:sz w:val="16"/>
              </w:rPr>
              <w:t>Nouvelles clés ajoutées (why, value, cta, footer) — push à confirmer</w:t>
            </w:r>
          </w:p>
        </w:tc>
      </w:tr>
      <w:tr>
        <w:tc>
          <w:tcPr>
            <w:tcW w:type="dxa" w:w="2160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consultant.html FR/EN</w:t>
            </w:r>
          </w:p>
        </w:tc>
        <w:tc>
          <w:tcPr>
            <w:tcW w:type="dxa" w:w="1008"/>
            <w:shd w:fill="F0F4FF"/>
          </w:tcPr>
          <w:p>
            <w:r/>
            <w:r>
              <w:rPr>
                <w:rFonts w:ascii="Arial" w:hAnsi="Arial"/>
                <w:b/>
                <w:color w:val="F59E0B"/>
                <w:sz w:val="16"/>
              </w:rPr>
              <w:t>PARTIEL</w:t>
            </w:r>
          </w:p>
        </w:tc>
        <w:tc>
          <w:tcPr>
            <w:tcW w:type="dxa" w:w="1008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Moyenne</w:t>
            </w:r>
          </w:p>
        </w:tc>
        <w:tc>
          <w:tcPr>
            <w:tcW w:type="dxa" w:w="5184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applyI18n enrichi, gate traduit — push à confirmer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color w:val="0F172A"/>
                <w:sz w:val="16"/>
              </w:rPr>
              <w:t>dashboard-entreprise FR/EN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/>
                <w:color w:val="F59E0B"/>
                <w:sz w:val="16"/>
              </w:rPr>
              <w:t>PARTIEL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color w:val="0F172A"/>
                <w:sz w:val="16"/>
              </w:rPr>
              <w:t>Basse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color w:val="0F172A"/>
                <w:sz w:val="16"/>
              </w:rPr>
              <w:t>Nav et auth traduits, contenu dashboard partiel</w:t>
            </w:r>
          </w:p>
        </w:tc>
      </w:tr>
      <w:tr>
        <w:tc>
          <w:tcPr>
            <w:tcW w:type="dxa" w:w="2160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dashboard-consultant FR/EN</w:t>
            </w:r>
          </w:p>
        </w:tc>
        <w:tc>
          <w:tcPr>
            <w:tcW w:type="dxa" w:w="1008"/>
            <w:shd w:fill="F0F4FF"/>
          </w:tcPr>
          <w:p>
            <w:r/>
            <w:r>
              <w:rPr>
                <w:rFonts w:ascii="Arial" w:hAnsi="Arial"/>
                <w:b/>
                <w:color w:val="F59E0B"/>
                <w:sz w:val="16"/>
              </w:rPr>
              <w:t>PARTIEL</w:t>
            </w:r>
          </w:p>
        </w:tc>
        <w:tc>
          <w:tcPr>
            <w:tcW w:type="dxa" w:w="1008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Basse</w:t>
            </w:r>
          </w:p>
        </w:tc>
        <w:tc>
          <w:tcPr>
            <w:tcW w:type="dxa" w:w="5184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Priorité basse car dashboards sont privés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color w:val="0F172A"/>
                <w:sz w:val="16"/>
              </w:rPr>
              <w:t>Pages légales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/>
                <w:color w:val="DC2626"/>
                <w:sz w:val="16"/>
              </w:rPr>
              <w:t>MANQUANT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color w:val="0F172A"/>
                <w:sz w:val="16"/>
              </w:rPr>
              <w:t>Basse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color w:val="0F172A"/>
                <w:sz w:val="16"/>
              </w:rPr>
              <w:t>Français uniquement — acceptable pour MVP Québec</w:t>
            </w:r>
          </w:p>
        </w:tc>
      </w:tr>
    </w:tbl>
    <w:p>
      <w:r>
        <w:br w:type="page"/>
      </w:r>
    </w:p>
    <w:p>
      <w:pPr>
        <w:pStyle w:val="Heading1"/>
      </w:pPr>
      <w:r>
        <w:t>Partie 2 — Plan Agile Go-Live</w:t>
      </w:r>
    </w:p>
    <w:p>
      <w:pPr>
        <w:spacing w:before="0" w:after="120"/>
      </w:pPr>
      <w:r>
        <w:rPr>
          <w:rFonts w:ascii="Arial" w:hAnsi="Arial"/>
          <w:b/>
          <w:color w:val="0F172A"/>
          <w:sz w:val="20"/>
        </w:rPr>
        <w:t>6 sprints de 1 à 2 semaines chacun. Objectif : lancement commercial en 8-10 semaines.</w:t>
      </w:r>
    </w:p>
    <w:p>
      <w:pPr>
        <w:spacing w:before="0" w:after="120"/>
      </w:pPr>
      <w:r>
        <w:rPr>
          <w:rFonts w:ascii="Arial" w:hAnsi="Arial"/>
          <w:b w:val="0"/>
          <w:sz w:val="20"/>
        </w:rPr>
        <w:t>Chaque sprint a un objectif clair, des actions numérotées et des livrables vérifiables.</w:t>
      </w:r>
    </w:p>
    <w:p>
      <w:pPr>
        <w:spacing w:before="360" w:after="120"/>
        <w:shd w:fill="00288E" w:val="clear"/>
      </w:pPr>
      <w:r>
        <w:rPr>
          <w:rFonts w:ascii="Arial" w:hAnsi="Arial"/>
          <w:b/>
          <w:color w:val="FFFFFF"/>
          <w:sz w:val="28"/>
        </w:rPr>
        <w:t xml:space="preserve">  SPRINT 1  —  FONDATIONS &amp; SÉCURITÉ  </w:t>
      </w:r>
    </w:p>
    <w:p>
      <w:pPr>
        <w:spacing w:after="160"/>
      </w:pPr>
      <w:r>
        <w:rPr>
          <w:rFonts w:ascii="Arial" w:hAnsi="Arial"/>
          <w:b/>
          <w:color w:val="00288E"/>
          <w:sz w:val="20"/>
        </w:rPr>
        <w:t xml:space="preserve">Durée : </w:t>
      </w:r>
      <w:r>
        <w:rPr>
          <w:rFonts w:ascii="Arial" w:hAnsi="Arial"/>
          <w:color w:val="6B7280"/>
          <w:sz w:val="20"/>
        </w:rPr>
        <w:t>2 semaines</w:t>
      </w:r>
      <w:r>
        <w:rPr>
          <w:rFonts w:ascii="Arial" w:hAnsi="Arial"/>
          <w:b/>
          <w:color w:val="00288E"/>
          <w:sz w:val="20"/>
        </w:rPr>
        <w:t xml:space="preserve">  |  Objectif : </w:t>
      </w:r>
      <w:r>
        <w:rPr>
          <w:rFonts w:ascii="Arial" w:hAnsi="Arial"/>
          <w:color w:val="6B7280"/>
          <w:sz w:val="20"/>
        </w:rPr>
        <w:t>Sécuriser la base avant toute exposition publique</w:t>
      </w:r>
    </w:p>
    <w:p>
      <w:pPr>
        <w:pStyle w:val="Heading3"/>
      </w:pPr>
      <w:r>
        <w:t>Actions</w:t>
      </w:r>
    </w:p>
    <w:p>
      <w:pPr>
        <w:pStyle w:val="ListNumber"/>
        <w:spacing w:after="80"/>
      </w:pPr>
      <w:r>
        <w:rPr>
          <w:rFonts w:ascii="Arial" w:hAnsi="Arial"/>
          <w:b/>
          <w:color w:val="0F172A"/>
          <w:sz w:val="20"/>
        </w:rPr>
        <w:t>Migrer l'auth vers Supabase Auth</w:t>
      </w:r>
      <w:r>
        <w:rPr>
          <w:rFonts w:ascii="Arial" w:hAnsi="Arial"/>
          <w:color w:val="6B7280"/>
          <w:sz w:val="20"/>
        </w:rPr>
        <w:t xml:space="preserve"> — Remplacer SHA-256 par bcrypt natif. Créer les users Supabase Auth. Supprimer tout hashage client-side.</w:t>
      </w:r>
    </w:p>
    <w:p>
      <w:pPr>
        <w:pStyle w:val="ListNumber"/>
        <w:spacing w:after="80"/>
      </w:pPr>
      <w:r>
        <w:rPr>
          <w:rFonts w:ascii="Arial" w:hAnsi="Arial"/>
          <w:b/>
          <w:color w:val="0F172A"/>
          <w:sz w:val="20"/>
        </w:rPr>
        <w:t>Supprimer les credentials dupliquées</w:t>
      </w:r>
      <w:r>
        <w:rPr>
          <w:rFonts w:ascii="Arial" w:hAnsi="Arial"/>
          <w:color w:val="6B7280"/>
          <w:sz w:val="20"/>
        </w:rPr>
        <w:t xml:space="preserve"> — Retirer les fallback SB_KEY de dashboard-entreprise.html et dashboard-consultant.html.</w:t>
      </w:r>
    </w:p>
    <w:p>
      <w:pPr>
        <w:pStyle w:val="ListNumber"/>
        <w:spacing w:after="80"/>
      </w:pPr>
      <w:r>
        <w:rPr>
          <w:rFonts w:ascii="Arial" w:hAnsi="Arial"/>
          <w:b/>
          <w:color w:val="0F172A"/>
          <w:sz w:val="20"/>
        </w:rPr>
        <w:t>Implémenter le rate limiting</w:t>
      </w:r>
      <w:r>
        <w:rPr>
          <w:rFonts w:ascii="Arial" w:hAnsi="Arial"/>
          <w:color w:val="6B7280"/>
          <w:sz w:val="20"/>
        </w:rPr>
        <w:t xml:space="preserve"> — Supabase Edge Function pour limiter les tentatives de login (5 max / 15 min par IP).</w:t>
      </w:r>
    </w:p>
    <w:p>
      <w:pPr>
        <w:pStyle w:val="ListNumber"/>
        <w:spacing w:after="80"/>
      </w:pPr>
      <w:r>
        <w:rPr>
          <w:rFonts w:ascii="Arial" w:hAnsi="Arial"/>
          <w:b/>
          <w:color w:val="0F172A"/>
          <w:sz w:val="20"/>
        </w:rPr>
        <w:t>Durcir les politiques RLS</w:t>
      </w:r>
      <w:r>
        <w:rPr>
          <w:rFonts w:ascii="Arial" w:hAnsi="Arial"/>
          <w:color w:val="6B7280"/>
          <w:sz w:val="20"/>
        </w:rPr>
        <w:t xml:space="preserve"> — Remplacer les politiques permissives par des règles email-based sur les 3 tables.</w:t>
      </w:r>
    </w:p>
    <w:p>
      <w:pPr>
        <w:pStyle w:val="ListNumber"/>
        <w:spacing w:after="80"/>
      </w:pPr>
      <w:r>
        <w:rPr>
          <w:rFonts w:ascii="Arial" w:hAnsi="Arial"/>
          <w:b/>
          <w:color w:val="0F172A"/>
          <w:sz w:val="20"/>
        </w:rPr>
        <w:t>Créer le .gitignore</w:t>
      </w:r>
      <w:r>
        <w:rPr>
          <w:rFonts w:ascii="Arial" w:hAnsi="Arial"/>
          <w:color w:val="6B7280"/>
          <w:sz w:val="20"/>
        </w:rPr>
        <w:t xml:space="preserve"> — Exclure .bak, .backup_pre_optimization/, *.md (audit), node_modules/, .env</w:t>
      </w:r>
    </w:p>
    <w:p>
      <w:pPr>
        <w:pStyle w:val="ListNumber"/>
        <w:spacing w:after="80"/>
      </w:pPr>
      <w:r>
        <w:rPr>
          <w:rFonts w:ascii="Arial" w:hAnsi="Arial"/>
          <w:b/>
          <w:color w:val="0F172A"/>
          <w:sz w:val="20"/>
        </w:rPr>
        <w:t>Ajouter favicon.ico</w:t>
      </w:r>
      <w:r>
        <w:rPr>
          <w:rFonts w:ascii="Arial" w:hAnsi="Arial"/>
          <w:color w:val="6B7280"/>
          <w:sz w:val="20"/>
        </w:rPr>
        <w:t xml:space="preserve"> — Créer un favicon avec le logo ExpertERPHub (32x32 + 16x16).</w:t>
      </w:r>
    </w:p>
    <w:p>
      <w:pPr>
        <w:pStyle w:val="ListNumber"/>
        <w:spacing w:after="80"/>
      </w:pPr>
      <w:r>
        <w:rPr>
          <w:rFonts w:ascii="Arial" w:hAnsi="Arial"/>
          <w:b/>
          <w:color w:val="0F172A"/>
          <w:sz w:val="20"/>
        </w:rPr>
        <w:t>Nettoyer console.log de debug</w:t>
      </w:r>
      <w:r>
        <w:rPr>
          <w:rFonts w:ascii="Arial" w:hAnsi="Arial"/>
          <w:color w:val="6B7280"/>
          <w:sz w:val="20"/>
        </w:rPr>
        <w:t xml:space="preserve"> — Supprimer les 12 console.log dans index.html, dashboard-consultant.html, notifications.js.</w:t>
      </w:r>
    </w:p>
    <w:p>
      <w:pPr>
        <w:pStyle w:val="ListNumber"/>
        <w:spacing w:after="80"/>
      </w:pPr>
      <w:r>
        <w:rPr>
          <w:rFonts w:ascii="Arial" w:hAnsi="Arial"/>
          <w:b/>
          <w:color w:val="0F172A"/>
          <w:sz w:val="20"/>
        </w:rPr>
        <w:t>Déplacer ACCESS_TOKEN_SECRET</w:t>
      </w:r>
      <w:r>
        <w:rPr>
          <w:rFonts w:ascii="Arial" w:hAnsi="Arial"/>
          <w:color w:val="6B7280"/>
          <w:sz w:val="20"/>
        </w:rPr>
        <w:t xml:space="preserve"> — Retirer la clé hardcodée de consultant.html. Variable d'environnement Vercel.</w:t>
      </w:r>
    </w:p>
    <w:p>
      <w:pPr>
        <w:pStyle w:val="Heading3"/>
      </w:pPr>
      <w:r>
        <w:t>Livrables</w:t>
      </w:r>
    </w:p>
    <w:p>
      <w:pPr>
        <w:pStyle w:val="ListBullet"/>
        <w:spacing w:after="60"/>
      </w:pPr>
      <w:r/>
      <w:r>
        <w:rPr>
          <w:rFonts w:ascii="Arial" w:hAnsi="Arial"/>
          <w:color w:val="0F172A"/>
          <w:sz w:val="20"/>
        </w:rPr>
        <w:t>Auth Supabase native fonctionnelle (login/register/reset)</w:t>
      </w:r>
    </w:p>
    <w:p>
      <w:pPr>
        <w:pStyle w:val="ListBullet"/>
        <w:spacing w:after="60"/>
      </w:pPr>
      <w:r/>
      <w:r>
        <w:rPr>
          <w:rFonts w:ascii="Arial" w:hAnsi="Arial"/>
          <w:color w:val="0F172A"/>
          <w:sz w:val="20"/>
        </w:rPr>
        <w:t>Zéro credential hardcodée hors config.js</w:t>
      </w:r>
    </w:p>
    <w:p>
      <w:pPr>
        <w:pStyle w:val="ListBullet"/>
        <w:spacing w:after="60"/>
      </w:pPr>
      <w:r/>
      <w:r>
        <w:rPr>
          <w:rFonts w:ascii="Arial" w:hAnsi="Arial"/>
          <w:color w:val="0F172A"/>
          <w:sz w:val="20"/>
        </w:rPr>
        <w:t>RLS durcies sur les 3 tables principales</w:t>
      </w:r>
    </w:p>
    <w:p>
      <w:pPr>
        <w:pStyle w:val="ListBullet"/>
        <w:spacing w:after="60"/>
      </w:pPr>
      <w:r/>
      <w:r>
        <w:rPr>
          <w:rFonts w:ascii="Arial" w:hAnsi="Arial"/>
          <w:color w:val="0F172A"/>
          <w:sz w:val="20"/>
        </w:rPr>
        <w:t>Rate limiting actif sur endpoint login</w:t>
      </w:r>
    </w:p>
    <w:p>
      <w:pPr>
        <w:pStyle w:val="ListBullet"/>
        <w:spacing w:after="60"/>
      </w:pPr>
      <w:r/>
      <w:r>
        <w:rPr>
          <w:rFonts w:ascii="Arial" w:hAnsi="Arial"/>
          <w:color w:val="0F172A"/>
          <w:sz w:val="20"/>
        </w:rPr>
        <w:t>.gitignore en place, favicon visible, console propre</w:t>
      </w:r>
    </w:p>
    <w:p>
      <w:pPr>
        <w:spacing w:before="360" w:after="120"/>
        <w:shd w:fill="00288E" w:val="clear"/>
      </w:pPr>
      <w:r>
        <w:rPr>
          <w:rFonts w:ascii="Arial" w:hAnsi="Arial"/>
          <w:b/>
          <w:color w:val="FFFFFF"/>
          <w:sz w:val="28"/>
        </w:rPr>
        <w:t xml:space="preserve">  SPRINT 2  —  PAIEMENT STRIPE  </w:t>
      </w:r>
    </w:p>
    <w:p>
      <w:pPr>
        <w:spacing w:after="160"/>
      </w:pPr>
      <w:r>
        <w:rPr>
          <w:rFonts w:ascii="Arial" w:hAnsi="Arial"/>
          <w:b/>
          <w:color w:val="00288E"/>
          <w:sz w:val="20"/>
        </w:rPr>
        <w:t xml:space="preserve">Durée : </w:t>
      </w:r>
      <w:r>
        <w:rPr>
          <w:rFonts w:ascii="Arial" w:hAnsi="Arial"/>
          <w:color w:val="6B7280"/>
          <w:sz w:val="20"/>
        </w:rPr>
        <w:t>2 semaines</w:t>
      </w:r>
      <w:r>
        <w:rPr>
          <w:rFonts w:ascii="Arial" w:hAnsi="Arial"/>
          <w:b/>
          <w:color w:val="00288E"/>
          <w:sz w:val="20"/>
        </w:rPr>
        <w:t xml:space="preserve">  |  Objectif : </w:t>
      </w:r>
      <w:r>
        <w:rPr>
          <w:rFonts w:ascii="Arial" w:hAnsi="Arial"/>
          <w:color w:val="6B7280"/>
          <w:sz w:val="20"/>
        </w:rPr>
        <w:t>Permettre aux entreprises et visiteurs pro de payer leur abonnement</w:t>
      </w:r>
    </w:p>
    <w:p>
      <w:pPr>
        <w:pStyle w:val="Heading3"/>
      </w:pPr>
      <w:r>
        <w:t>Actions</w:t>
      </w:r>
    </w:p>
    <w:p>
      <w:pPr>
        <w:pStyle w:val="ListNumber"/>
        <w:spacing w:after="80"/>
      </w:pPr>
      <w:r>
        <w:rPr>
          <w:rFonts w:ascii="Arial" w:hAnsi="Arial"/>
          <w:b/>
          <w:color w:val="0F172A"/>
          <w:sz w:val="20"/>
        </w:rPr>
        <w:t>Créer le compte Stripe</w:t>
      </w:r>
      <w:r>
        <w:rPr>
          <w:rFonts w:ascii="Arial" w:hAnsi="Arial"/>
          <w:color w:val="6B7280"/>
          <w:sz w:val="20"/>
        </w:rPr>
        <w:t xml:space="preserve"> — Configurer les produits/prix : Visiteur Pro (10$/18$/25$), Freelance (69$/99$), Entreprise (49$/149$/349$).</w:t>
      </w:r>
    </w:p>
    <w:p>
      <w:pPr>
        <w:pStyle w:val="ListNumber"/>
        <w:spacing w:after="80"/>
      </w:pPr>
      <w:r>
        <w:rPr>
          <w:rFonts w:ascii="Arial" w:hAnsi="Arial"/>
          <w:b/>
          <w:color w:val="0F172A"/>
          <w:sz w:val="20"/>
        </w:rPr>
        <w:t>Intégrer Stripe Checkout</w:t>
      </w:r>
      <w:r>
        <w:rPr>
          <w:rFonts w:ascii="Arial" w:hAnsi="Arial"/>
          <w:color w:val="6B7280"/>
          <w:sz w:val="20"/>
        </w:rPr>
        <w:t xml:space="preserve"> — Supabase Edge Function qui génère une session Stripe Checkout. Redirect vers Stripe.</w:t>
      </w:r>
    </w:p>
    <w:p>
      <w:pPr>
        <w:pStyle w:val="ListNumber"/>
        <w:spacing w:after="80"/>
      </w:pPr>
      <w:r>
        <w:rPr>
          <w:rFonts w:ascii="Arial" w:hAnsi="Arial"/>
          <w:b/>
          <w:color w:val="0F172A"/>
          <w:sz w:val="20"/>
        </w:rPr>
        <w:t>Créer le webhook handler</w:t>
      </w:r>
      <w:r>
        <w:rPr>
          <w:rFonts w:ascii="Arial" w:hAnsi="Arial"/>
          <w:color w:val="6B7280"/>
          <w:sz w:val="20"/>
        </w:rPr>
        <w:t xml:space="preserve"> — Edge Function pour subscription.created, invoice.paid, subscription.canceled → mise à jour billing_subscriptions.</w:t>
      </w:r>
    </w:p>
    <w:p>
      <w:pPr>
        <w:pStyle w:val="ListNumber"/>
        <w:spacing w:after="80"/>
      </w:pPr>
      <w:r>
        <w:rPr>
          <w:rFonts w:ascii="Arial" w:hAnsi="Arial"/>
          <w:b/>
          <w:color w:val="0F172A"/>
          <w:sz w:val="20"/>
        </w:rPr>
        <w:t>Page pricing publique</w:t>
      </w:r>
      <w:r>
        <w:rPr>
          <w:rFonts w:ascii="Arial" w:hAnsi="Arial"/>
          <w:color w:val="6B7280"/>
          <w:sz w:val="20"/>
        </w:rPr>
        <w:t xml:space="preserve"> — Créer pricing.html avec les 3 plans entreprise + 3 plans visiteur pro. Boutons CTA vers Checkout.</w:t>
      </w:r>
    </w:p>
    <w:p>
      <w:pPr>
        <w:pStyle w:val="ListNumber"/>
        <w:spacing w:after="80"/>
      </w:pPr>
      <w:r>
        <w:rPr>
          <w:rFonts w:ascii="Arial" w:hAnsi="Arial"/>
          <w:b/>
          <w:color w:val="0F172A"/>
          <w:sz w:val="20"/>
        </w:rPr>
        <w:t>Billing dashboard entreprise</w:t>
      </w:r>
      <w:r>
        <w:rPr>
          <w:rFonts w:ascii="Arial" w:hAnsi="Arial"/>
          <w:color w:val="6B7280"/>
          <w:sz w:val="20"/>
        </w:rPr>
        <w:t xml:space="preserve"> — Onglet Facturation dans dashboard-entreprise : plan actuel, prochaine facture, historique, bouton annuler.</w:t>
      </w:r>
    </w:p>
    <w:p>
      <w:pPr>
        <w:pStyle w:val="ListNumber"/>
        <w:spacing w:after="80"/>
      </w:pPr>
      <w:r>
        <w:rPr>
          <w:rFonts w:ascii="Arial" w:hAnsi="Arial"/>
          <w:b/>
          <w:color w:val="0F172A"/>
          <w:sz w:val="20"/>
        </w:rPr>
        <w:t>Enforcement des limites</w:t>
      </w:r>
      <w:r>
        <w:rPr>
          <w:rFonts w:ascii="Arial" w:hAnsi="Arial"/>
          <w:color w:val="6B7280"/>
          <w:sz w:val="20"/>
        </w:rPr>
        <w:t xml:space="preserve"> — Vérifier le statut d'abonnement avant d'autoriser les actions (messages VP, publication consultant).</w:t>
      </w:r>
    </w:p>
    <w:p>
      <w:pPr>
        <w:pStyle w:val="ListNumber"/>
        <w:spacing w:after="80"/>
      </w:pPr>
      <w:r>
        <w:rPr>
          <w:rFonts w:ascii="Arial" w:hAnsi="Arial"/>
          <w:b/>
          <w:color w:val="0F172A"/>
          <w:sz w:val="20"/>
        </w:rPr>
        <w:t>Gérer les codes promo</w:t>
      </w:r>
      <w:r>
        <w:rPr>
          <w:rFonts w:ascii="Arial" w:hAnsi="Arial"/>
          <w:color w:val="6B7280"/>
          <w:sz w:val="20"/>
        </w:rPr>
        <w:t xml:space="preserve"> — Intégrer les coupons Stripe pour les essais gratuits via promo code.</w:t>
      </w:r>
    </w:p>
    <w:p>
      <w:pPr>
        <w:pStyle w:val="Heading3"/>
      </w:pPr>
      <w:r>
        <w:t>Livrables</w:t>
      </w:r>
    </w:p>
    <w:p>
      <w:pPr>
        <w:pStyle w:val="ListBullet"/>
        <w:spacing w:after="60"/>
      </w:pPr>
      <w:r/>
      <w:r>
        <w:rPr>
          <w:rFonts w:ascii="Arial" w:hAnsi="Arial"/>
          <w:color w:val="0F172A"/>
          <w:sz w:val="20"/>
        </w:rPr>
        <w:t>Stripe Checkout fonctionnel pour les 3 types d'abonnés</w:t>
      </w:r>
    </w:p>
    <w:p>
      <w:pPr>
        <w:pStyle w:val="ListBullet"/>
        <w:spacing w:after="60"/>
      </w:pPr>
      <w:r/>
      <w:r>
        <w:rPr>
          <w:rFonts w:ascii="Arial" w:hAnsi="Arial"/>
          <w:color w:val="0F172A"/>
          <w:sz w:val="20"/>
        </w:rPr>
        <w:t>Webhooks actifs — abonnements mis à jour automatiquement</w:t>
      </w:r>
    </w:p>
    <w:p>
      <w:pPr>
        <w:pStyle w:val="ListBullet"/>
        <w:spacing w:after="60"/>
      </w:pPr>
      <w:r/>
      <w:r>
        <w:rPr>
          <w:rFonts w:ascii="Arial" w:hAnsi="Arial"/>
          <w:color w:val="0F172A"/>
          <w:sz w:val="20"/>
        </w:rPr>
        <w:t>Page pricing.html live avec CTA</w:t>
      </w:r>
    </w:p>
    <w:p>
      <w:pPr>
        <w:pStyle w:val="ListBullet"/>
        <w:spacing w:after="60"/>
      </w:pPr>
      <w:r/>
      <w:r>
        <w:rPr>
          <w:rFonts w:ascii="Arial" w:hAnsi="Arial"/>
          <w:color w:val="0F172A"/>
          <w:sz w:val="20"/>
        </w:rPr>
        <w:t>Dashboard facturation dans l'espace entreprise</w:t>
      </w:r>
    </w:p>
    <w:p>
      <w:pPr>
        <w:pStyle w:val="ListBullet"/>
        <w:spacing w:after="60"/>
      </w:pPr>
      <w:r/>
      <w:r>
        <w:rPr>
          <w:rFonts w:ascii="Arial" w:hAnsi="Arial"/>
          <w:color w:val="0F172A"/>
          <w:sz w:val="20"/>
        </w:rPr>
        <w:t>Codes promo fonctionnels pour essais gratuits</w:t>
      </w:r>
    </w:p>
    <w:p>
      <w:pPr>
        <w:spacing w:before="360" w:after="120"/>
        <w:shd w:fill="00288E" w:val="clear"/>
      </w:pPr>
      <w:r>
        <w:rPr>
          <w:rFonts w:ascii="Arial" w:hAnsi="Arial"/>
          <w:b/>
          <w:color w:val="FFFFFF"/>
          <w:sz w:val="28"/>
        </w:rPr>
        <w:t xml:space="preserve">  SPRINT 3  —  EMAILS &amp; NOTIFICATIONS  </w:t>
      </w:r>
    </w:p>
    <w:p>
      <w:pPr>
        <w:spacing w:after="160"/>
      </w:pPr>
      <w:r>
        <w:rPr>
          <w:rFonts w:ascii="Arial" w:hAnsi="Arial"/>
          <w:b/>
          <w:color w:val="00288E"/>
          <w:sz w:val="20"/>
        </w:rPr>
        <w:t xml:space="preserve">Durée : </w:t>
      </w:r>
      <w:r>
        <w:rPr>
          <w:rFonts w:ascii="Arial" w:hAnsi="Arial"/>
          <w:color w:val="6B7280"/>
          <w:sz w:val="20"/>
        </w:rPr>
        <w:t>1.5 semaines</w:t>
      </w:r>
      <w:r>
        <w:rPr>
          <w:rFonts w:ascii="Arial" w:hAnsi="Arial"/>
          <w:b/>
          <w:color w:val="00288E"/>
          <w:sz w:val="20"/>
        </w:rPr>
        <w:t xml:space="preserve">  |  Objectif : </w:t>
      </w:r>
      <w:r>
        <w:rPr>
          <w:rFonts w:ascii="Arial" w:hAnsi="Arial"/>
          <w:color w:val="6B7280"/>
          <w:sz w:val="20"/>
        </w:rPr>
        <w:t>Les utilisateurs reçoivent des emails pour chaque événement important</w:t>
      </w:r>
    </w:p>
    <w:p>
      <w:pPr>
        <w:pStyle w:val="Heading3"/>
      </w:pPr>
      <w:r>
        <w:t>Actions</w:t>
      </w:r>
    </w:p>
    <w:p>
      <w:pPr>
        <w:pStyle w:val="ListNumber"/>
        <w:spacing w:after="80"/>
      </w:pPr>
      <w:r>
        <w:rPr>
          <w:rFonts w:ascii="Arial" w:hAnsi="Arial"/>
          <w:b/>
          <w:color w:val="0F172A"/>
          <w:sz w:val="20"/>
        </w:rPr>
        <w:t>Choisir et configurer le provider email</w:t>
      </w:r>
      <w:r>
        <w:rPr>
          <w:rFonts w:ascii="Arial" w:hAnsi="Arial"/>
          <w:color w:val="6B7280"/>
          <w:sz w:val="20"/>
        </w:rPr>
        <w:t xml:space="preserve"> — SendGrid recommandé (100 emails/jour gratuit). Configurer SPF, DKIM pour expertERPhub.com.</w:t>
      </w:r>
    </w:p>
    <w:p>
      <w:pPr>
        <w:pStyle w:val="ListNumber"/>
        <w:spacing w:after="80"/>
      </w:pPr>
      <w:r>
        <w:rPr>
          <w:rFonts w:ascii="Arial" w:hAnsi="Arial"/>
          <w:b/>
          <w:color w:val="0F172A"/>
          <w:sz w:val="20"/>
        </w:rPr>
        <w:t>Créer les templates email</w:t>
      </w:r>
      <w:r>
        <w:rPr>
          <w:rFonts w:ascii="Arial" w:hAnsi="Arial"/>
          <w:color w:val="6B7280"/>
          <w:sz w:val="20"/>
        </w:rPr>
        <w:t xml:space="preserve"> — 6 templates : bienvenue consultant, bienvenue entreprise, profil approuvé, nouvelle demande contact, confirmation abo, reset password.</w:t>
      </w:r>
    </w:p>
    <w:p>
      <w:pPr>
        <w:pStyle w:val="ListNumber"/>
        <w:spacing w:after="80"/>
      </w:pPr>
      <w:r>
        <w:rPr>
          <w:rFonts w:ascii="Arial" w:hAnsi="Arial"/>
          <w:b/>
          <w:color w:val="0F172A"/>
          <w:sz w:val="20"/>
        </w:rPr>
        <w:t>Intégrer l'envoi email dans notifications.js</w:t>
      </w:r>
      <w:r>
        <w:rPr>
          <w:rFonts w:ascii="Arial" w:hAnsi="Arial"/>
          <w:color w:val="6B7280"/>
          <w:sz w:val="20"/>
        </w:rPr>
        <w:t xml:space="preserve"> — Quand push() est appelé, envoyer aussi un email via Supabase Edge Function → SendGrid.</w:t>
      </w:r>
    </w:p>
    <w:p>
      <w:pPr>
        <w:pStyle w:val="ListNumber"/>
        <w:spacing w:after="80"/>
      </w:pPr>
      <w:r>
        <w:rPr>
          <w:rFonts w:ascii="Arial" w:hAnsi="Arial"/>
          <w:b/>
          <w:color w:val="0F172A"/>
          <w:sz w:val="20"/>
        </w:rPr>
        <w:t>Emails admin</w:t>
      </w:r>
      <w:r>
        <w:rPr>
          <w:rFonts w:ascii="Arial" w:hAnsi="Arial"/>
          <w:color w:val="6B7280"/>
          <w:sz w:val="20"/>
        </w:rPr>
        <w:t xml:space="preserve"> — Notifier l'admin à chaque nouvelle inscription et chaque demande de contact.</w:t>
      </w:r>
    </w:p>
    <w:p>
      <w:pPr>
        <w:pStyle w:val="ListNumber"/>
        <w:spacing w:after="80"/>
      </w:pPr>
      <w:r>
        <w:rPr>
          <w:rFonts w:ascii="Arial" w:hAnsi="Arial"/>
          <w:b/>
          <w:color w:val="0F172A"/>
          <w:sz w:val="20"/>
        </w:rPr>
        <w:t>Préférences email utilisateur</w:t>
      </w:r>
      <w:r>
        <w:rPr>
          <w:rFonts w:ascii="Arial" w:hAnsi="Arial"/>
          <w:color w:val="6B7280"/>
          <w:sz w:val="20"/>
        </w:rPr>
        <w:t xml:space="preserve"> — Toggle dans les dashboards pour activer/désactiver les notifications email.</w:t>
      </w:r>
    </w:p>
    <w:p>
      <w:pPr>
        <w:pStyle w:val="Heading3"/>
      </w:pPr>
      <w:r>
        <w:t>Livrables</w:t>
      </w:r>
    </w:p>
    <w:p>
      <w:pPr>
        <w:pStyle w:val="ListBullet"/>
        <w:spacing w:after="60"/>
      </w:pPr>
      <w:r/>
      <w:r>
        <w:rPr>
          <w:rFonts w:ascii="Arial" w:hAnsi="Arial"/>
          <w:color w:val="0F172A"/>
          <w:sz w:val="20"/>
        </w:rPr>
        <w:t>Emails envoyés automatiquement pour les 6 événements</w:t>
      </w:r>
    </w:p>
    <w:p>
      <w:pPr>
        <w:pStyle w:val="ListBullet"/>
        <w:spacing w:after="60"/>
      </w:pPr>
      <w:r/>
      <w:r>
        <w:rPr>
          <w:rFonts w:ascii="Arial" w:hAnsi="Arial"/>
          <w:color w:val="0F172A"/>
          <w:sz w:val="20"/>
        </w:rPr>
        <w:t>Admin reçoit une alerte à chaque inscription</w:t>
      </w:r>
    </w:p>
    <w:p>
      <w:pPr>
        <w:pStyle w:val="ListBullet"/>
        <w:spacing w:after="60"/>
      </w:pPr>
      <w:r/>
      <w:r>
        <w:rPr>
          <w:rFonts w:ascii="Arial" w:hAnsi="Arial"/>
          <w:color w:val="0F172A"/>
          <w:sz w:val="20"/>
        </w:rPr>
        <w:t>Templates professionnels avec branding ExpertERPHub</w:t>
      </w:r>
    </w:p>
    <w:p>
      <w:pPr>
        <w:pStyle w:val="ListBullet"/>
        <w:spacing w:after="60"/>
      </w:pPr>
      <w:r/>
      <w:r>
        <w:rPr>
          <w:rFonts w:ascii="Arial" w:hAnsi="Arial"/>
          <w:color w:val="0F172A"/>
          <w:sz w:val="20"/>
        </w:rPr>
        <w:t>SPF/DKIM configurés — emails ne tombent pas en spam</w:t>
      </w:r>
    </w:p>
    <w:p>
      <w:r>
        <w:br w:type="page"/>
      </w:r>
    </w:p>
    <w:p>
      <w:pPr>
        <w:spacing w:before="360" w:after="120"/>
        <w:shd w:fill="00288E" w:val="clear"/>
      </w:pPr>
      <w:r>
        <w:rPr>
          <w:rFonts w:ascii="Arial" w:hAnsi="Arial"/>
          <w:b/>
          <w:color w:val="FFFFFF"/>
          <w:sz w:val="28"/>
        </w:rPr>
        <w:t xml:space="preserve">  SPRINT 4  —  CONTENU &amp; PROFILS  </w:t>
      </w:r>
    </w:p>
    <w:p>
      <w:pPr>
        <w:spacing w:after="160"/>
      </w:pPr>
      <w:r>
        <w:rPr>
          <w:rFonts w:ascii="Arial" w:hAnsi="Arial"/>
          <w:b/>
          <w:color w:val="00288E"/>
          <w:sz w:val="20"/>
        </w:rPr>
        <w:t xml:space="preserve">Durée : </w:t>
      </w:r>
      <w:r>
        <w:rPr>
          <w:rFonts w:ascii="Arial" w:hAnsi="Arial"/>
          <w:color w:val="6B7280"/>
          <w:sz w:val="20"/>
        </w:rPr>
        <w:t>1.5 semaines</w:t>
      </w:r>
      <w:r>
        <w:rPr>
          <w:rFonts w:ascii="Arial" w:hAnsi="Arial"/>
          <w:b/>
          <w:color w:val="00288E"/>
          <w:sz w:val="20"/>
        </w:rPr>
        <w:t xml:space="preserve">  |  Objectif : </w:t>
      </w:r>
      <w:r>
        <w:rPr>
          <w:rFonts w:ascii="Arial" w:hAnsi="Arial"/>
          <w:color w:val="6B7280"/>
          <w:sz w:val="20"/>
        </w:rPr>
        <w:t>Le site affiche du contenu crédible et professionnel</w:t>
      </w:r>
    </w:p>
    <w:p>
      <w:pPr>
        <w:pStyle w:val="Heading3"/>
      </w:pPr>
      <w:r>
        <w:t>Actions</w:t>
      </w:r>
    </w:p>
    <w:p>
      <w:pPr>
        <w:pStyle w:val="ListNumber"/>
        <w:spacing w:after="80"/>
      </w:pPr>
      <w:r>
        <w:rPr>
          <w:rFonts w:ascii="Arial" w:hAnsi="Arial"/>
          <w:b/>
          <w:color w:val="0F172A"/>
          <w:sz w:val="20"/>
        </w:rPr>
        <w:t>Remplacer les profils test</w:t>
      </w:r>
      <w:r>
        <w:rPr>
          <w:rFonts w:ascii="Arial" w:hAnsi="Arial"/>
          <w:color w:val="6B7280"/>
          <w:sz w:val="20"/>
        </w:rPr>
        <w:t xml:space="preserve"> — Supprimer les profils avec photos non professionnelles. Créer 8-12 profils réalistes avec vrais parcours ERP.</w:t>
      </w:r>
    </w:p>
    <w:p>
      <w:pPr>
        <w:pStyle w:val="ListNumber"/>
        <w:spacing w:after="80"/>
      </w:pPr>
      <w:r>
        <w:rPr>
          <w:rFonts w:ascii="Arial" w:hAnsi="Arial"/>
          <w:b/>
          <w:color w:val="0F172A"/>
          <w:sz w:val="20"/>
        </w:rPr>
        <w:t>Ajouter des photos professionnelles</w:t>
      </w:r>
      <w:r>
        <w:rPr>
          <w:rFonts w:ascii="Arial" w:hAnsi="Arial"/>
          <w:color w:val="6B7280"/>
          <w:sz w:val="20"/>
        </w:rPr>
        <w:t xml:space="preserve"> — Photos stock ou avatars générés style corporate. Aucune photo anime/manga.</w:t>
      </w:r>
    </w:p>
    <w:p>
      <w:pPr>
        <w:pStyle w:val="ListNumber"/>
        <w:spacing w:after="80"/>
      </w:pPr>
      <w:r>
        <w:rPr>
          <w:rFonts w:ascii="Arial" w:hAnsi="Arial"/>
          <w:b/>
          <w:color w:val="0F172A"/>
          <w:sz w:val="20"/>
        </w:rPr>
        <w:t>Créer la section témoignages</w:t>
      </w:r>
      <w:r>
        <w:rPr>
          <w:rFonts w:ascii="Arial" w:hAnsi="Arial"/>
          <w:color w:val="6B7280"/>
          <w:sz w:val="20"/>
        </w:rPr>
        <w:t xml:space="preserve"> — 3-4 témoignages crédibles sur index.html (entreprises satisfaites, consultants placés).</w:t>
      </w:r>
    </w:p>
    <w:p>
      <w:pPr>
        <w:pStyle w:val="ListNumber"/>
        <w:spacing w:after="80"/>
      </w:pPr>
      <w:r>
        <w:rPr>
          <w:rFonts w:ascii="Arial" w:hAnsi="Arial"/>
          <w:b/>
          <w:color w:val="0F172A"/>
          <w:sz w:val="20"/>
        </w:rPr>
        <w:t>Compléter les mentions légales</w:t>
      </w:r>
      <w:r>
        <w:rPr>
          <w:rFonts w:ascii="Arial" w:hAnsi="Arial"/>
          <w:color w:val="6B7280"/>
          <w:sz w:val="20"/>
        </w:rPr>
        <w:t xml:space="preserve"> — Remplacer « Adresse à compléter » et « Téléphone à compléter » par les vraies coordonnées.</w:t>
      </w:r>
    </w:p>
    <w:p>
      <w:pPr>
        <w:pStyle w:val="ListNumber"/>
        <w:spacing w:after="80"/>
      </w:pPr>
      <w:r>
        <w:rPr>
          <w:rFonts w:ascii="Arial" w:hAnsi="Arial"/>
          <w:b/>
          <w:color w:val="0F172A"/>
          <w:sz w:val="20"/>
        </w:rPr>
        <w:t>Ajouter og:image</w:t>
      </w:r>
      <w:r>
        <w:rPr>
          <w:rFonts w:ascii="Arial" w:hAnsi="Arial"/>
          <w:color w:val="6B7280"/>
          <w:sz w:val="20"/>
        </w:rPr>
        <w:t xml:space="preserve"> — Image 1200x630px pour le partage social (logo + tagline). Ajouter le meta tag.</w:t>
      </w:r>
    </w:p>
    <w:p>
      <w:pPr>
        <w:pStyle w:val="ListNumber"/>
        <w:spacing w:after="80"/>
      </w:pPr>
      <w:r>
        <w:rPr>
          <w:rFonts w:ascii="Arial" w:hAnsi="Arial"/>
          <w:b/>
          <w:color w:val="0F172A"/>
          <w:sz w:val="20"/>
        </w:rPr>
        <w:t>Créer robots.txt + sitemap.xml</w:t>
      </w:r>
      <w:r>
        <w:rPr>
          <w:rFonts w:ascii="Arial" w:hAnsi="Arial"/>
          <w:color w:val="6B7280"/>
          <w:sz w:val="20"/>
        </w:rPr>
        <w:t xml:space="preserve"> — robots.txt autorisant tous les crawlers. sitemap.xml listant toutes les pages publiques.</w:t>
      </w:r>
    </w:p>
    <w:p>
      <w:pPr>
        <w:pStyle w:val="ListNumber"/>
        <w:spacing w:after="80"/>
      </w:pPr>
      <w:r>
        <w:rPr>
          <w:rFonts w:ascii="Arial" w:hAnsi="Arial"/>
          <w:b/>
          <w:color w:val="0F172A"/>
          <w:sz w:val="20"/>
        </w:rPr>
        <w:t>Ajouter les canonical URLs</w:t>
      </w:r>
      <w:r>
        <w:rPr>
          <w:rFonts w:ascii="Arial" w:hAnsi="Arial"/>
          <w:color w:val="6B7280"/>
          <w:sz w:val="20"/>
        </w:rPr>
        <w:t xml:space="preserve"> — Meta canonical sur chaque page pour éviter le contenu dupliqué.</w:t>
      </w:r>
    </w:p>
    <w:p>
      <w:pPr>
        <w:pStyle w:val="ListNumber"/>
        <w:spacing w:after="80"/>
      </w:pPr>
      <w:r>
        <w:rPr>
          <w:rFonts w:ascii="Arial" w:hAnsi="Arial"/>
          <w:b/>
          <w:color w:val="0F172A"/>
          <w:sz w:val="20"/>
        </w:rPr>
        <w:t>Vérifier la traduction i18n</w:t>
      </w:r>
      <w:r>
        <w:rPr>
          <w:rFonts w:ascii="Arial" w:hAnsi="Arial"/>
          <w:color w:val="6B7280"/>
          <w:sz w:val="20"/>
        </w:rPr>
        <w:t xml:space="preserve"> — S'assurer que le push des dernières modifications i18n est effectif sur Vercel.</w:t>
      </w:r>
    </w:p>
    <w:p>
      <w:pPr>
        <w:pStyle w:val="Heading3"/>
      </w:pPr>
      <w:r>
        <w:t>Livrables</w:t>
      </w:r>
    </w:p>
    <w:p>
      <w:pPr>
        <w:pStyle w:val="ListBullet"/>
        <w:spacing w:after="60"/>
      </w:pPr>
      <w:r/>
      <w:r>
        <w:rPr>
          <w:rFonts w:ascii="Arial" w:hAnsi="Arial"/>
          <w:color w:val="0F172A"/>
          <w:sz w:val="20"/>
        </w:rPr>
        <w:t>8-12 profils consultants réalistes et professionnels</w:t>
      </w:r>
    </w:p>
    <w:p>
      <w:pPr>
        <w:pStyle w:val="ListBullet"/>
        <w:spacing w:after="60"/>
      </w:pPr>
      <w:r/>
      <w:r>
        <w:rPr>
          <w:rFonts w:ascii="Arial" w:hAnsi="Arial"/>
          <w:color w:val="0F172A"/>
          <w:sz w:val="20"/>
        </w:rPr>
        <w:t>Section témoignages visible sur la homepage</w:t>
      </w:r>
    </w:p>
    <w:p>
      <w:pPr>
        <w:pStyle w:val="ListBullet"/>
        <w:spacing w:after="60"/>
      </w:pPr>
      <w:r/>
      <w:r>
        <w:rPr>
          <w:rFonts w:ascii="Arial" w:hAnsi="Arial"/>
          <w:color w:val="0F172A"/>
          <w:sz w:val="20"/>
        </w:rPr>
        <w:t>Mentions légales complètes</w:t>
      </w:r>
    </w:p>
    <w:p>
      <w:pPr>
        <w:pStyle w:val="ListBullet"/>
        <w:spacing w:after="60"/>
      </w:pPr>
      <w:r/>
      <w:r>
        <w:rPr>
          <w:rFonts w:ascii="Arial" w:hAnsi="Arial"/>
          <w:color w:val="0F172A"/>
          <w:sz w:val="20"/>
        </w:rPr>
        <w:t>SEO : og:image, robots.txt, sitemap.xml, canonical</w:t>
      </w:r>
    </w:p>
    <w:p>
      <w:pPr>
        <w:pStyle w:val="ListBullet"/>
        <w:spacing w:after="60"/>
      </w:pPr>
      <w:r/>
      <w:r>
        <w:rPr>
          <w:rFonts w:ascii="Arial" w:hAnsi="Arial"/>
          <w:color w:val="0F172A"/>
          <w:sz w:val="20"/>
        </w:rPr>
        <w:t>i18n FR/EN fonctionnel sur toutes les pages publiques</w:t>
      </w:r>
    </w:p>
    <w:p>
      <w:pPr>
        <w:spacing w:before="360" w:after="120"/>
        <w:shd w:fill="00288E" w:val="clear"/>
      </w:pPr>
      <w:r>
        <w:rPr>
          <w:rFonts w:ascii="Arial" w:hAnsi="Arial"/>
          <w:b/>
          <w:color w:val="FFFFFF"/>
          <w:sz w:val="28"/>
        </w:rPr>
        <w:t xml:space="preserve">  SPRINT 5  —  CONFORMITÉ &amp; QUALITÉ CODE  </w:t>
      </w:r>
    </w:p>
    <w:p>
      <w:pPr>
        <w:spacing w:after="160"/>
      </w:pPr>
      <w:r>
        <w:rPr>
          <w:rFonts w:ascii="Arial" w:hAnsi="Arial"/>
          <w:b/>
          <w:color w:val="00288E"/>
          <w:sz w:val="20"/>
        </w:rPr>
        <w:t xml:space="preserve">Durée : </w:t>
      </w:r>
      <w:r>
        <w:rPr>
          <w:rFonts w:ascii="Arial" w:hAnsi="Arial"/>
          <w:color w:val="6B7280"/>
          <w:sz w:val="20"/>
        </w:rPr>
        <w:t>1 semaine</w:t>
      </w:r>
      <w:r>
        <w:rPr>
          <w:rFonts w:ascii="Arial" w:hAnsi="Arial"/>
          <w:b/>
          <w:color w:val="00288E"/>
          <w:sz w:val="20"/>
        </w:rPr>
        <w:t xml:space="preserve">  |  Objectif : </w:t>
      </w:r>
      <w:r>
        <w:rPr>
          <w:rFonts w:ascii="Arial" w:hAnsi="Arial"/>
          <w:color w:val="6B7280"/>
          <w:sz w:val="20"/>
        </w:rPr>
        <w:t>Conformité RGPD et code maintenable</w:t>
      </w:r>
    </w:p>
    <w:p>
      <w:pPr>
        <w:pStyle w:val="Heading3"/>
      </w:pPr>
      <w:r>
        <w:t>Actions</w:t>
      </w:r>
    </w:p>
    <w:p>
      <w:pPr>
        <w:pStyle w:val="ListNumber"/>
        <w:spacing w:after="80"/>
      </w:pPr>
      <w:r>
        <w:rPr>
          <w:rFonts w:ascii="Arial" w:hAnsi="Arial"/>
          <w:b/>
          <w:color w:val="0F172A"/>
          <w:sz w:val="20"/>
        </w:rPr>
        <w:t>Export données RGPD</w:t>
      </w:r>
      <w:r>
        <w:rPr>
          <w:rFonts w:ascii="Arial" w:hAnsi="Arial"/>
          <w:color w:val="6B7280"/>
          <w:sz w:val="20"/>
        </w:rPr>
        <w:t xml:space="preserve"> — Bouton « Télécharger mes données » dans chaque dashboard — exporte un JSON.</w:t>
      </w:r>
    </w:p>
    <w:p>
      <w:pPr>
        <w:pStyle w:val="ListNumber"/>
        <w:spacing w:after="80"/>
      </w:pPr>
      <w:r>
        <w:rPr>
          <w:rFonts w:ascii="Arial" w:hAnsi="Arial"/>
          <w:b/>
          <w:color w:val="0F172A"/>
          <w:sz w:val="20"/>
        </w:rPr>
        <w:t>Suppression de compte RGPD</w:t>
      </w:r>
      <w:r>
        <w:rPr>
          <w:rFonts w:ascii="Arial" w:hAnsi="Arial"/>
          <w:color w:val="6B7280"/>
          <w:sz w:val="20"/>
        </w:rPr>
        <w:t xml:space="preserve"> — Bouton « Supprimer mon compte » avec confirmation — anonymise les données (soft delete).</w:t>
      </w:r>
    </w:p>
    <w:p>
      <w:pPr>
        <w:pStyle w:val="ListNumber"/>
        <w:spacing w:after="80"/>
      </w:pPr>
      <w:r>
        <w:rPr>
          <w:rFonts w:ascii="Arial" w:hAnsi="Arial"/>
          <w:b/>
          <w:color w:val="0F172A"/>
          <w:sz w:val="20"/>
        </w:rPr>
        <w:t>Finaliser la déduplication du code</w:t>
      </w:r>
      <w:r>
        <w:rPr>
          <w:rFonts w:ascii="Arial" w:hAnsi="Arial"/>
          <w:color w:val="6B7280"/>
          <w:sz w:val="20"/>
        </w:rPr>
        <w:t xml:space="preserve"> — Vérifier que supabase-helpers.js est utilisé partout. Supprimer les dernières fonctions dupliquées.</w:t>
      </w:r>
    </w:p>
    <w:p>
      <w:pPr>
        <w:pStyle w:val="ListNumber"/>
        <w:spacing w:after="80"/>
      </w:pPr>
      <w:r>
        <w:rPr>
          <w:rFonts w:ascii="Arial" w:hAnsi="Arial"/>
          <w:b/>
          <w:color w:val="0F172A"/>
          <w:sz w:val="20"/>
        </w:rPr>
        <w:t>Extraire les gros blocs JS</w:t>
      </w:r>
      <w:r>
        <w:rPr>
          <w:rFonts w:ascii="Arial" w:hAnsi="Arial"/>
          <w:color w:val="6B7280"/>
          <w:sz w:val="20"/>
        </w:rPr>
        <w:t xml:space="preserve"> — Si le temps le permet, extraire les scripts inline vers des fichiers .js séparés.</w:t>
      </w:r>
    </w:p>
    <w:p>
      <w:pPr>
        <w:pStyle w:val="ListNumber"/>
        <w:spacing w:after="80"/>
      </w:pPr>
      <w:r>
        <w:rPr>
          <w:rFonts w:ascii="Arial" w:hAnsi="Arial"/>
          <w:b/>
          <w:color w:val="0F172A"/>
          <w:sz w:val="20"/>
        </w:rPr>
        <w:t>Tests manuels complets</w:t>
      </w:r>
      <w:r>
        <w:rPr>
          <w:rFonts w:ascii="Arial" w:hAnsi="Arial"/>
          <w:color w:val="6B7280"/>
          <w:sz w:val="20"/>
        </w:rPr>
        <w:t xml:space="preserve"> — Parcours complet : inscription → approbation → recherche → contact → paiement → reset password.</w:t>
      </w:r>
    </w:p>
    <w:p>
      <w:pPr>
        <w:pStyle w:val="Heading3"/>
      </w:pPr>
      <w:r>
        <w:t>Livrables</w:t>
      </w:r>
    </w:p>
    <w:p>
      <w:pPr>
        <w:pStyle w:val="ListBullet"/>
        <w:spacing w:after="60"/>
      </w:pPr>
      <w:r/>
      <w:r>
        <w:rPr>
          <w:rFonts w:ascii="Arial" w:hAnsi="Arial"/>
          <w:color w:val="0F172A"/>
          <w:sz w:val="20"/>
        </w:rPr>
        <w:t>Export et suppression RGPD fonctionnels</w:t>
      </w:r>
    </w:p>
    <w:p>
      <w:pPr>
        <w:pStyle w:val="ListBullet"/>
        <w:spacing w:after="60"/>
      </w:pPr>
      <w:r/>
      <w:r>
        <w:rPr>
          <w:rFonts w:ascii="Arial" w:hAnsi="Arial"/>
          <w:color w:val="0F172A"/>
          <w:sz w:val="20"/>
        </w:rPr>
        <w:t>Code dédupliqué et centralisé</w:t>
      </w:r>
    </w:p>
    <w:p>
      <w:pPr>
        <w:pStyle w:val="ListBullet"/>
        <w:spacing w:after="60"/>
      </w:pPr>
      <w:r/>
      <w:r>
        <w:rPr>
          <w:rFonts w:ascii="Arial" w:hAnsi="Arial"/>
          <w:color w:val="0F172A"/>
          <w:sz w:val="20"/>
        </w:rPr>
        <w:t>Tests passés sur tous les parcours utilisateur</w:t>
      </w:r>
    </w:p>
    <w:p>
      <w:pPr>
        <w:spacing w:before="360" w:after="120"/>
        <w:shd w:fill="00288E" w:val="clear"/>
      </w:pPr>
      <w:r>
        <w:rPr>
          <w:rFonts w:ascii="Arial" w:hAnsi="Arial"/>
          <w:b/>
          <w:color w:val="FFFFFF"/>
          <w:sz w:val="28"/>
        </w:rPr>
        <w:t xml:space="preserve">  SPRINT 6  —  GO-LIVE &amp; LANCEMENT  </w:t>
      </w:r>
    </w:p>
    <w:p>
      <w:pPr>
        <w:spacing w:after="160"/>
      </w:pPr>
      <w:r>
        <w:rPr>
          <w:rFonts w:ascii="Arial" w:hAnsi="Arial"/>
          <w:b/>
          <w:color w:val="00288E"/>
          <w:sz w:val="20"/>
        </w:rPr>
        <w:t xml:space="preserve">Durée : </w:t>
      </w:r>
      <w:r>
        <w:rPr>
          <w:rFonts w:ascii="Arial" w:hAnsi="Arial"/>
          <w:color w:val="6B7280"/>
          <w:sz w:val="20"/>
        </w:rPr>
        <w:t>1 semaine</w:t>
      </w:r>
      <w:r>
        <w:rPr>
          <w:rFonts w:ascii="Arial" w:hAnsi="Arial"/>
          <w:b/>
          <w:color w:val="00288E"/>
          <w:sz w:val="20"/>
        </w:rPr>
        <w:t xml:space="preserve">  |  Objectif : </w:t>
      </w:r>
      <w:r>
        <w:rPr>
          <w:rFonts w:ascii="Arial" w:hAnsi="Arial"/>
          <w:color w:val="6B7280"/>
          <w:sz w:val="20"/>
        </w:rPr>
        <w:t>Lancer la plateforme et commencer l'acquisition</w:t>
      </w:r>
    </w:p>
    <w:p>
      <w:pPr>
        <w:pStyle w:val="Heading3"/>
      </w:pPr>
      <w:r>
        <w:t>Actions</w:t>
      </w:r>
    </w:p>
    <w:p>
      <w:pPr>
        <w:pStyle w:val="ListNumber"/>
        <w:spacing w:after="80"/>
      </w:pPr>
      <w:r>
        <w:rPr>
          <w:rFonts w:ascii="Arial" w:hAnsi="Arial"/>
          <w:b/>
          <w:color w:val="0F172A"/>
          <w:sz w:val="20"/>
        </w:rPr>
        <w:t>Configurer le domaine personnalisé</w:t>
      </w:r>
      <w:r>
        <w:rPr>
          <w:rFonts w:ascii="Arial" w:hAnsi="Arial"/>
          <w:color w:val="6B7280"/>
          <w:sz w:val="20"/>
        </w:rPr>
        <w:t xml:space="preserve"> — Pointer expertERPhub.com vers Vercel. Configurer SSL, redirections www.</w:t>
      </w:r>
    </w:p>
    <w:p>
      <w:pPr>
        <w:pStyle w:val="ListNumber"/>
        <w:spacing w:after="80"/>
      </w:pPr>
      <w:r>
        <w:rPr>
          <w:rFonts w:ascii="Arial" w:hAnsi="Arial"/>
          <w:b/>
          <w:color w:val="0F172A"/>
          <w:sz w:val="20"/>
        </w:rPr>
        <w:t>Test de charge basique</w:t>
      </w:r>
      <w:r>
        <w:rPr>
          <w:rFonts w:ascii="Arial" w:hAnsi="Arial"/>
          <w:color w:val="6B7280"/>
          <w:sz w:val="20"/>
        </w:rPr>
        <w:t xml:space="preserve"> — Vérifier que le site supporte 50-100 utilisateurs simultanés sans ralentissement.</w:t>
      </w:r>
    </w:p>
    <w:p>
      <w:pPr>
        <w:pStyle w:val="ListNumber"/>
        <w:spacing w:after="80"/>
      </w:pPr>
      <w:r>
        <w:rPr>
          <w:rFonts w:ascii="Arial" w:hAnsi="Arial"/>
          <w:b/>
          <w:color w:val="0F172A"/>
          <w:sz w:val="20"/>
        </w:rPr>
        <w:t>Préparer les emails d'approche</w:t>
      </w:r>
      <w:r>
        <w:rPr>
          <w:rFonts w:ascii="Arial" w:hAnsi="Arial"/>
          <w:color w:val="6B7280"/>
          <w:sz w:val="20"/>
        </w:rPr>
        <w:t xml:space="preserve"> — Templates email pour contacter les consultants ERP (LinkedIn, réseaux) et les entreprises.</w:t>
      </w:r>
    </w:p>
    <w:p>
      <w:pPr>
        <w:pStyle w:val="ListNumber"/>
        <w:spacing w:after="80"/>
      </w:pPr>
      <w:r>
        <w:rPr>
          <w:rFonts w:ascii="Arial" w:hAnsi="Arial"/>
          <w:b/>
          <w:color w:val="0F172A"/>
          <w:sz w:val="20"/>
        </w:rPr>
        <w:t>Créer le profil LinkedIn ExpertERPHub</w:t>
      </w:r>
      <w:r>
        <w:rPr>
          <w:rFonts w:ascii="Arial" w:hAnsi="Arial"/>
          <w:color w:val="6B7280"/>
          <w:sz w:val="20"/>
        </w:rPr>
        <w:t xml:space="preserve"> — Page entreprise avec description, lien vers le site, premiers posts.</w:t>
      </w:r>
    </w:p>
    <w:p>
      <w:pPr>
        <w:pStyle w:val="ListNumber"/>
        <w:spacing w:after="80"/>
      </w:pPr>
      <w:r>
        <w:rPr>
          <w:rFonts w:ascii="Arial" w:hAnsi="Arial"/>
          <w:b/>
          <w:color w:val="0F172A"/>
          <w:sz w:val="20"/>
        </w:rPr>
        <w:t>Onboarder les premiers consultants</w:t>
      </w:r>
      <w:r>
        <w:rPr>
          <w:rFonts w:ascii="Arial" w:hAnsi="Arial"/>
          <w:color w:val="6B7280"/>
          <w:sz w:val="20"/>
        </w:rPr>
        <w:t xml:space="preserve"> — Inviter 5-10 vrais consultants ERP à créer leur profil. Valider manuellement.</w:t>
      </w:r>
    </w:p>
    <w:p>
      <w:pPr>
        <w:pStyle w:val="ListNumber"/>
        <w:spacing w:after="80"/>
      </w:pPr>
      <w:r>
        <w:rPr>
          <w:rFonts w:ascii="Arial" w:hAnsi="Arial"/>
          <w:b/>
          <w:color w:val="0F172A"/>
          <w:sz w:val="20"/>
        </w:rPr>
        <w:t>Monitoring &amp; alertes</w:t>
      </w:r>
      <w:r>
        <w:rPr>
          <w:rFonts w:ascii="Arial" w:hAnsi="Arial"/>
          <w:color w:val="6B7280"/>
          <w:sz w:val="20"/>
        </w:rPr>
        <w:t xml:space="preserve"> — Configurer les alertes Vercel pour les erreurs. Monitorer inscriptions et paiements Stripe.</w:t>
      </w:r>
    </w:p>
    <w:p>
      <w:pPr>
        <w:pStyle w:val="ListNumber"/>
        <w:spacing w:after="80"/>
      </w:pPr>
      <w:r>
        <w:rPr>
          <w:rFonts w:ascii="Arial" w:hAnsi="Arial"/>
          <w:b/>
          <w:color w:val="0F172A"/>
          <w:sz w:val="20"/>
        </w:rPr>
        <w:t>Backup automatique Supabase</w:t>
      </w:r>
      <w:r>
        <w:rPr>
          <w:rFonts w:ascii="Arial" w:hAnsi="Arial"/>
          <w:color w:val="6B7280"/>
          <w:sz w:val="20"/>
        </w:rPr>
        <w:t xml:space="preserve"> — Activer les backups quotidiens dans les settings Supabase.</w:t>
      </w:r>
    </w:p>
    <w:p>
      <w:pPr>
        <w:pStyle w:val="Heading3"/>
      </w:pPr>
      <w:r>
        <w:t>Livrables</w:t>
      </w:r>
    </w:p>
    <w:p>
      <w:pPr>
        <w:pStyle w:val="ListBullet"/>
        <w:spacing w:after="60"/>
      </w:pPr>
      <w:r/>
      <w:r>
        <w:rPr>
          <w:rFonts w:ascii="Arial" w:hAnsi="Arial"/>
          <w:color w:val="0F172A"/>
          <w:sz w:val="20"/>
        </w:rPr>
        <w:t>Site live sur expertERPhub.com avec SSL</w:t>
      </w:r>
    </w:p>
    <w:p>
      <w:pPr>
        <w:pStyle w:val="ListBullet"/>
        <w:spacing w:after="60"/>
      </w:pPr>
      <w:r/>
      <w:r>
        <w:rPr>
          <w:rFonts w:ascii="Arial" w:hAnsi="Arial"/>
          <w:color w:val="0F172A"/>
          <w:sz w:val="20"/>
        </w:rPr>
        <w:t>5-10 consultants réels onboardés</w:t>
      </w:r>
    </w:p>
    <w:p>
      <w:pPr>
        <w:pStyle w:val="ListBullet"/>
        <w:spacing w:after="60"/>
      </w:pPr>
      <w:r/>
      <w:r>
        <w:rPr>
          <w:rFonts w:ascii="Arial" w:hAnsi="Arial"/>
          <w:color w:val="0F172A"/>
          <w:sz w:val="20"/>
        </w:rPr>
        <w:t>Premières approches entreprises envoyées</w:t>
      </w:r>
    </w:p>
    <w:p>
      <w:pPr>
        <w:pStyle w:val="ListBullet"/>
        <w:spacing w:after="60"/>
      </w:pPr>
      <w:r/>
      <w:r>
        <w:rPr>
          <w:rFonts w:ascii="Arial" w:hAnsi="Arial"/>
          <w:color w:val="0F172A"/>
          <w:sz w:val="20"/>
        </w:rPr>
        <w:t>Monitoring actif</w:t>
      </w:r>
    </w:p>
    <w:p>
      <w:r>
        <w:br w:type="page"/>
      </w:r>
    </w:p>
    <w:p>
      <w:pPr>
        <w:pStyle w:val="Heading1"/>
      </w:pPr>
      <w:r>
        <w:t>Timeline Récapitulative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720"/>
            <w:shd w:fill="00288E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Sprint</w:t>
            </w:r>
          </w:p>
        </w:tc>
        <w:tc>
          <w:tcPr>
            <w:tcW w:type="dxa" w:w="2880"/>
            <w:shd w:fill="00288E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Focus</w:t>
            </w:r>
          </w:p>
        </w:tc>
        <w:tc>
          <w:tcPr>
            <w:tcW w:type="dxa" w:w="1440"/>
            <w:shd w:fill="00288E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Durée</w:t>
            </w:r>
          </w:p>
        </w:tc>
        <w:tc>
          <w:tcPr>
            <w:tcW w:type="dxa" w:w="1152"/>
            <w:shd w:fill="00288E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Semaines</w:t>
            </w:r>
          </w:p>
        </w:tc>
        <w:tc>
          <w:tcPr>
            <w:tcW w:type="dxa" w:w="1152"/>
            <w:shd w:fill="00288E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Statut</w:t>
            </w:r>
          </w:p>
        </w:tc>
      </w:tr>
      <w:tr>
        <w:tc>
          <w:tcPr>
            <w:tcW w:type="dxa" w:w="720"/>
            <w:shd w:fill="F0F4FF"/>
          </w:tcPr>
          <w:p>
            <w:r/>
            <w:r>
              <w:rPr>
                <w:rFonts w:ascii="Arial" w:hAnsi="Arial"/>
                <w:b/>
                <w:color w:val="00288E"/>
                <w:sz w:val="16"/>
              </w:rPr>
              <w:t>S1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Fondations &amp; Sécurité</w:t>
            </w:r>
          </w:p>
        </w:tc>
        <w:tc>
          <w:tcPr>
            <w:tcW w:type="dxa" w:w="1440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2 semaines</w:t>
            </w:r>
          </w:p>
        </w:tc>
        <w:tc>
          <w:tcPr>
            <w:tcW w:type="dxa" w:w="1152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S1-S2</w:t>
            </w:r>
          </w:p>
        </w:tc>
        <w:tc>
          <w:tcPr>
            <w:tcW w:type="dxa" w:w="1152"/>
            <w:shd w:fill="F0F4FF"/>
          </w:tcPr>
          <w:p>
            <w:r/>
            <w:r>
              <w:rPr>
                <w:rFonts w:ascii="Arial" w:hAnsi="Arial"/>
                <w:b/>
                <w:color w:val="DC2626"/>
                <w:sz w:val="16"/>
              </w:rPr>
              <w:t>Bloquant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b/>
                <w:color w:val="00288E"/>
                <w:sz w:val="16"/>
              </w:rPr>
              <w:t>S2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0F172A"/>
                <w:sz w:val="16"/>
              </w:rPr>
              <w:t>Paiement Stripe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color w:val="0F172A"/>
                <w:sz w:val="16"/>
              </w:rPr>
              <w:t>2 semaines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color w:val="0F172A"/>
                <w:sz w:val="16"/>
              </w:rPr>
              <w:t>S3-S4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/>
                <w:color w:val="DC2626"/>
                <w:sz w:val="16"/>
              </w:rPr>
              <w:t>Bloquant</w:t>
            </w:r>
          </w:p>
        </w:tc>
      </w:tr>
      <w:tr>
        <w:tc>
          <w:tcPr>
            <w:tcW w:type="dxa" w:w="720"/>
            <w:shd w:fill="F0F4FF"/>
          </w:tcPr>
          <w:p>
            <w:r/>
            <w:r>
              <w:rPr>
                <w:rFonts w:ascii="Arial" w:hAnsi="Arial"/>
                <w:b/>
                <w:color w:val="00288E"/>
                <w:sz w:val="16"/>
              </w:rPr>
              <w:t>S3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Emails &amp; Notifications</w:t>
            </w:r>
          </w:p>
        </w:tc>
        <w:tc>
          <w:tcPr>
            <w:tcW w:type="dxa" w:w="1440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1.5 semaines</w:t>
            </w:r>
          </w:p>
        </w:tc>
        <w:tc>
          <w:tcPr>
            <w:tcW w:type="dxa" w:w="1152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S5-S6</w:t>
            </w:r>
          </w:p>
        </w:tc>
        <w:tc>
          <w:tcPr>
            <w:tcW w:type="dxa" w:w="1152"/>
            <w:shd w:fill="F0F4FF"/>
          </w:tcPr>
          <w:p>
            <w:r/>
            <w:r>
              <w:rPr>
                <w:rFonts w:ascii="Arial" w:hAnsi="Arial"/>
                <w:b/>
                <w:color w:val="DC2626"/>
                <w:sz w:val="16"/>
              </w:rPr>
              <w:t>Bloquant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b/>
                <w:color w:val="00288E"/>
                <w:sz w:val="16"/>
              </w:rPr>
              <w:t>S4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0F172A"/>
                <w:sz w:val="16"/>
              </w:rPr>
              <w:t>Contenu &amp; Profils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color w:val="0F172A"/>
                <w:sz w:val="16"/>
              </w:rPr>
              <w:t>1.5 semaines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color w:val="0F172A"/>
                <w:sz w:val="16"/>
              </w:rPr>
              <w:t>S6-S7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/>
                <w:color w:val="F59E0B"/>
                <w:sz w:val="16"/>
              </w:rPr>
              <w:t>Haute</w:t>
            </w:r>
          </w:p>
        </w:tc>
      </w:tr>
      <w:tr>
        <w:tc>
          <w:tcPr>
            <w:tcW w:type="dxa" w:w="720"/>
            <w:shd w:fill="F0F4FF"/>
          </w:tcPr>
          <w:p>
            <w:r/>
            <w:r>
              <w:rPr>
                <w:rFonts w:ascii="Arial" w:hAnsi="Arial"/>
                <w:b/>
                <w:color w:val="00288E"/>
                <w:sz w:val="16"/>
              </w:rPr>
              <w:t>S5</w:t>
            </w:r>
          </w:p>
        </w:tc>
        <w:tc>
          <w:tcPr>
            <w:tcW w:type="dxa" w:w="2880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Conformité &amp; Qualité</w:t>
            </w:r>
          </w:p>
        </w:tc>
        <w:tc>
          <w:tcPr>
            <w:tcW w:type="dxa" w:w="1440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1 semaine</w:t>
            </w:r>
          </w:p>
        </w:tc>
        <w:tc>
          <w:tcPr>
            <w:tcW w:type="dxa" w:w="1152"/>
            <w:shd w:fill="F0F4FF"/>
          </w:tcPr>
          <w:p>
            <w:r/>
            <w:r>
              <w:rPr>
                <w:rFonts w:ascii="Arial" w:hAnsi="Arial"/>
                <w:color w:val="0F172A"/>
                <w:sz w:val="16"/>
              </w:rPr>
              <w:t>S8</w:t>
            </w:r>
          </w:p>
        </w:tc>
        <w:tc>
          <w:tcPr>
            <w:tcW w:type="dxa" w:w="1152"/>
            <w:shd w:fill="F0F4FF"/>
          </w:tcPr>
          <w:p>
            <w:r/>
            <w:r>
              <w:rPr>
                <w:rFonts w:ascii="Arial" w:hAnsi="Arial"/>
                <w:b/>
                <w:color w:val="F59E0B"/>
                <w:sz w:val="16"/>
              </w:rPr>
              <w:t>Haute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/>
                <w:b/>
                <w:color w:val="00288E"/>
                <w:sz w:val="16"/>
              </w:rPr>
              <w:t>S6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0F172A"/>
                <w:sz w:val="16"/>
              </w:rPr>
              <w:t>Go-Live &amp; Lancement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color w:val="0F172A"/>
                <w:sz w:val="16"/>
              </w:rPr>
              <w:t>1 semaine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color w:val="0F172A"/>
                <w:sz w:val="16"/>
              </w:rPr>
              <w:t>S9-S10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/>
                <w:color w:val="16A34A"/>
                <w:sz w:val="16"/>
              </w:rPr>
              <w:t>Final</w:t>
            </w:r>
          </w:p>
        </w:tc>
      </w:tr>
    </w:tbl>
    <w:p>
      <w:pPr>
        <w:spacing w:before="240" w:after="120"/>
      </w:pPr>
      <w:r>
        <w:rPr>
          <w:rFonts w:ascii="Arial" w:hAnsi="Arial"/>
          <w:b w:val="0"/>
          <w:sz w:val="20"/>
        </w:rPr>
      </w:r>
    </w:p>
    <w:p>
      <w:pPr>
        <w:pStyle w:val="Heading2"/>
      </w:pPr>
      <w:r>
        <w:t>Délais estimés</w:t>
      </w:r>
    </w:p>
    <w:p>
      <w:pPr>
        <w:pStyle w:val="ListBullet"/>
        <w:spacing w:after="60"/>
      </w:pPr>
      <w:r>
        <w:rPr>
          <w:rFonts w:ascii="Arial" w:hAnsi="Arial"/>
          <w:b/>
          <w:color w:val="00288E"/>
          <w:sz w:val="20"/>
        </w:rPr>
        <w:t xml:space="preserve">Sprints 1-3 (bloquants) </w:t>
      </w:r>
      <w:r>
        <w:rPr>
          <w:rFonts w:ascii="Arial" w:hAnsi="Arial"/>
          <w:color w:val="6B7280"/>
          <w:sz w:val="20"/>
        </w:rPr>
        <w:t>5.5 semaines — Minimum absolu avant Go-Live</w:t>
      </w:r>
    </w:p>
    <w:p>
      <w:pPr>
        <w:pStyle w:val="ListBullet"/>
        <w:spacing w:after="60"/>
      </w:pPr>
      <w:r>
        <w:rPr>
          <w:rFonts w:ascii="Arial" w:hAnsi="Arial"/>
          <w:b/>
          <w:color w:val="00288E"/>
          <w:sz w:val="20"/>
        </w:rPr>
        <w:t xml:space="preserve">Sprints 4-5 (haute priorité) </w:t>
      </w:r>
      <w:r>
        <w:rPr>
          <w:rFonts w:ascii="Arial" w:hAnsi="Arial"/>
          <w:color w:val="6B7280"/>
          <w:sz w:val="20"/>
        </w:rPr>
        <w:t>2.5 semaines — Fortement recommandé avant approche commerciale</w:t>
      </w:r>
    </w:p>
    <w:p>
      <w:pPr>
        <w:pStyle w:val="ListBullet"/>
        <w:spacing w:after="60"/>
      </w:pPr>
      <w:r>
        <w:rPr>
          <w:rFonts w:ascii="Arial" w:hAnsi="Arial"/>
          <w:b/>
          <w:color w:val="00288E"/>
          <w:sz w:val="20"/>
        </w:rPr>
        <w:t xml:space="preserve">Sprint 6 (lancement) </w:t>
      </w:r>
      <w:r>
        <w:rPr>
          <w:rFonts w:ascii="Arial" w:hAnsi="Arial"/>
          <w:color w:val="6B7280"/>
          <w:sz w:val="20"/>
        </w:rPr>
        <w:t>1 semaine — Go-Live effectif</w:t>
      </w:r>
    </w:p>
    <w:p>
      <w:pPr>
        <w:pStyle w:val="ListBullet"/>
        <w:spacing w:after="60"/>
      </w:pPr>
      <w:r>
        <w:rPr>
          <w:rFonts w:ascii="Arial" w:hAnsi="Arial"/>
          <w:b/>
          <w:color w:val="00288E"/>
          <w:sz w:val="20"/>
        </w:rPr>
        <w:t xml:space="preserve">TOTAL </w:t>
      </w:r>
      <w:r>
        <w:rPr>
          <w:rFonts w:ascii="Arial" w:hAnsi="Arial"/>
          <w:color w:val="6B7280"/>
          <w:sz w:val="20"/>
        </w:rPr>
        <w:t>~10 semaines pour un lancement professionnel complet</w:t>
      </w:r>
    </w:p>
    <w:p>
      <w:pPr>
        <w:pStyle w:val="Heading2"/>
      </w:pPr>
      <w:r>
        <w:t>Ce qui est déjà fait (acquis)</w:t>
      </w:r>
    </w:p>
    <w:p>
      <w:pPr>
        <w:pStyle w:val="ListBullet"/>
        <w:spacing w:after="60"/>
      </w:pPr>
      <w:r/>
      <w:r>
        <w:rPr>
          <w:rFonts w:ascii="Arial" w:hAnsi="Arial"/>
          <w:color w:val="0F172A"/>
          <w:sz w:val="20"/>
        </w:rPr>
        <w:t>Architecture code auditée et dédupliquée (supabase-helpers.js)</w:t>
      </w:r>
    </w:p>
    <w:p>
      <w:pPr>
        <w:pStyle w:val="ListBullet"/>
        <w:spacing w:after="60"/>
      </w:pPr>
      <w:r/>
      <w:r>
        <w:rPr>
          <w:rFonts w:ascii="Arial" w:hAnsi="Arial"/>
          <w:color w:val="0F172A"/>
          <w:sz w:val="20"/>
        </w:rPr>
        <w:t>Système i18n FR/EN fonctionnel avec 200+ clés</w:t>
      </w:r>
    </w:p>
    <w:p>
      <w:pPr>
        <w:pStyle w:val="ListBullet"/>
        <w:spacing w:after="60"/>
      </w:pPr>
      <w:r/>
      <w:r>
        <w:rPr>
          <w:rFonts w:ascii="Arial" w:hAnsi="Arial"/>
          <w:color w:val="0F172A"/>
          <w:sz w:val="20"/>
        </w:rPr>
        <w:t>6 pages principales fonctionnelles</w:t>
      </w:r>
    </w:p>
    <w:p>
      <w:pPr>
        <w:pStyle w:val="ListBullet"/>
        <w:spacing w:after="60"/>
      </w:pPr>
      <w:r/>
      <w:r>
        <w:rPr>
          <w:rFonts w:ascii="Arial" w:hAnsi="Arial"/>
          <w:color w:val="0F172A"/>
          <w:sz w:val="20"/>
        </w:rPr>
        <w:t>Inscription consultant, entreprise, visiteur pro</w:t>
      </w:r>
    </w:p>
    <w:p>
      <w:pPr>
        <w:pStyle w:val="ListBullet"/>
        <w:spacing w:after="60"/>
      </w:pPr>
      <w:r/>
      <w:r>
        <w:rPr>
          <w:rFonts w:ascii="Arial" w:hAnsi="Arial"/>
          <w:color w:val="0F172A"/>
          <w:sz w:val="20"/>
        </w:rPr>
        <w:t>Dashboard admin avec modération</w:t>
      </w:r>
    </w:p>
    <w:p>
      <w:pPr>
        <w:pStyle w:val="ListBullet"/>
        <w:spacing w:after="60"/>
      </w:pPr>
      <w:r/>
      <w:r>
        <w:rPr>
          <w:rFonts w:ascii="Arial" w:hAnsi="Arial"/>
          <w:color w:val="0F172A"/>
          <w:sz w:val="20"/>
        </w:rPr>
        <w:t>Cookie consent RGPD</w:t>
      </w:r>
    </w:p>
    <w:p>
      <w:pPr>
        <w:pStyle w:val="ListBullet"/>
        <w:spacing w:after="60"/>
      </w:pPr>
      <w:r/>
      <w:r>
        <w:rPr>
          <w:rFonts w:ascii="Arial" w:hAnsi="Arial"/>
          <w:color w:val="0F172A"/>
          <w:sz w:val="20"/>
        </w:rPr>
        <w:t>Security headers (CSP, X-Content-Type-Options)</w:t>
      </w:r>
    </w:p>
    <w:p>
      <w:pPr>
        <w:pStyle w:val="ListBullet"/>
        <w:spacing w:after="60"/>
      </w:pPr>
      <w:r/>
      <w:r>
        <w:rPr>
          <w:rFonts w:ascii="Arial" w:hAnsi="Arial"/>
          <w:color w:val="0F172A"/>
          <w:sz w:val="20"/>
        </w:rPr>
        <w:t>Design professionnel responsive</w:t>
      </w:r>
    </w:p>
    <w:p>
      <w:pPr>
        <w:pStyle w:val="ListBullet"/>
        <w:spacing w:after="60"/>
      </w:pPr>
      <w:r/>
      <w:r>
        <w:rPr>
          <w:rFonts w:ascii="Arial" w:hAnsi="Arial"/>
          <w:color w:val="0F172A"/>
          <w:sz w:val="20"/>
        </w:rPr>
        <w:t>Déploiement Vercel automatique</w:t>
      </w:r>
    </w:p>
    <w:p>
      <w:pPr>
        <w:spacing w:before="0" w:after="120"/>
      </w:pPr>
      <w:r>
        <w:rPr>
          <w:rFonts w:ascii="Arial" w:hAnsi="Arial"/>
          <w:b w:val="0"/>
          <w:sz w:val="20"/>
        </w:rPr>
      </w:r>
    </w:p>
    <w:p>
      <w:pPr>
        <w:spacing w:before="0" w:after="120"/>
        <w:jc w:val="center"/>
      </w:pPr>
      <w:r>
        <w:rPr>
          <w:rFonts w:ascii="Arial" w:hAnsi="Arial"/>
          <w:b w:val="0"/>
          <w:color w:val="6B7280"/>
          <w:sz w:val="18"/>
        </w:rPr>
        <w:t>— Fin du document —</w:t>
      </w:r>
    </w:p>
    <w:sectPr w:rsidR="00FC693F" w:rsidRPr="0006063C" w:rsidSect="00034616">
      <w:pgSz w:w="12240" w:h="15840"/>
      <w:pgMar w:top="1440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6B728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288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58B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