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general"/>
      </w:pPr>
      <w:r>
        <w:t xml:space="preserve">Monitoreo</w:t>
      </w:r>
      <w:r>
        <w:t xml:space="preserve"> </w:t>
      </w:r>
      <w:r>
        <w:t xml:space="preserve">especializado</w:t>
      </w:r>
      <w:r>
        <w:t xml:space="preserve"> </w:t>
      </w:r>
      <w:r>
        <w:t xml:space="preserve">de</w:t>
      </w:r>
      <w:r>
        <w:t xml:space="preserve"> </w:t>
      </w:r>
      <w:r>
        <w:t xml:space="preserve">flora</w:t>
      </w:r>
      <w:r>
        <w:t xml:space="preserve"> </w:t>
      </w:r>
      <w:r>
        <w:t xml:space="preserve">y</w:t>
      </w:r>
      <w:r>
        <w:t xml:space="preserve"> </w:t>
      </w:r>
      <w:r>
        <w:t xml:space="preserve">fauna</w:t>
      </w:r>
      <w:r>
        <w:t xml:space="preserve"> </w:t>
      </w:r>
      <w:r>
        <w:t xml:space="preserve">en</w:t>
      </w:r>
      <w:r>
        <w:t xml:space="preserve"> </w:t>
      </w:r>
      <w:r>
        <w:t xml:space="preserve">zonas</w:t>
      </w:r>
      <w:r>
        <w:t xml:space="preserve"> </w:t>
      </w:r>
      <w:r>
        <w:t xml:space="preserve">de</w:t>
      </w:r>
      <w:r>
        <w:t xml:space="preserve"> </w:t>
      </w:r>
      <w:r>
        <w:t xml:space="preserve">conectividad</w:t>
      </w:r>
      <w:r>
        <w:t xml:space="preserve"> </w:t>
      </w:r>
      <w:r>
        <w:t xml:space="preserve">del</w:t>
      </w:r>
      <w:r>
        <w:t xml:space="preserve"> </w:t>
      </w:r>
      <w:r>
        <w:t xml:space="preserve">estado</w:t>
      </w:r>
      <w:r>
        <w:t xml:space="preserve"> </w:t>
      </w:r>
      <w:r>
        <w:t xml:space="preserve">de</w:t>
      </w:r>
      <w:r>
        <w:t xml:space="preserve"> </w:t>
      </w:r>
      <w:r>
        <w:t xml:space="preserve">Guanajuato</w:t>
      </w:r>
    </w:p>
    <w:p>
      <w:pPr>
        <w:pStyle w:val="Subttulo"/>
      </w:pPr>
      <w:r>
        <w:t xml:space="preserve">1er</w:t>
      </w:r>
      <w:r>
        <w:t xml:space="preserve"> </w:t>
      </w:r>
      <w:r>
        <w:t xml:space="preserve">informe</w:t>
      </w:r>
      <w:r>
        <w:t xml:space="preserve"> </w:t>
      </w:r>
      <w:r>
        <w:t xml:space="preserve">bimestral</w:t>
      </w:r>
    </w:p>
    <w:p>
      <w:pPr>
        <w:pStyle w:val="Author"/>
      </w:pPr>
      <w:r>
        <w:t xml:space="preserve">Hernando</w:t>
      </w:r>
      <w:r>
        <w:t xml:space="preserve"> </w:t>
      </w:r>
      <w:r>
        <w:t xml:space="preserve">Rodríguez-Correa</w:t>
      </w:r>
    </w:p>
    <w:p>
      <w:pPr>
        <w:pStyle w:val="Author"/>
      </w:pPr>
      <w:r>
        <w:t xml:space="preserve">Sofía</w:t>
      </w:r>
      <w:r>
        <w:t xml:space="preserve"> </w:t>
      </w:r>
      <w:r>
        <w:t xml:space="preserve">Zorrilla</w:t>
      </w:r>
      <w:r>
        <w:t xml:space="preserve"> </w:t>
      </w:r>
      <w:r>
        <w:t xml:space="preserve">Azcué</w:t>
      </w:r>
    </w:p>
    <w:p>
      <w:pPr>
        <w:pStyle w:val="Author"/>
      </w:pPr>
      <w:r>
        <w:t xml:space="preserve">Lizeth</w:t>
      </w:r>
      <w:r>
        <w:t xml:space="preserve"> </w:t>
      </w:r>
      <w:r>
        <w:t xml:space="preserve">Melissa</w:t>
      </w:r>
      <w:r>
        <w:t xml:space="preserve"> </w:t>
      </w:r>
      <w:r>
        <w:t xml:space="preserve">Naranjo</w:t>
      </w:r>
      <w:r>
        <w:t xml:space="preserve"> </w:t>
      </w:r>
      <w:r>
        <w:t xml:space="preserve">Bravo</w:t>
      </w:r>
    </w:p>
    <w:p>
      <w:pPr>
        <w:pStyle w:val="Date"/>
      </w:pPr>
      <w:r>
        <w:t xml:space="preserve">2023-12-21</w:t>
      </w:r>
    </w:p>
    <w:bookmarkStart w:id="21" w:name="métodos"/>
    <w:p>
      <w:pPr>
        <w:pStyle w:val="Ttulo1"/>
      </w:pPr>
      <w:r>
        <w:t xml:space="preserve">Métodos</w:t>
      </w:r>
    </w:p>
    <w:bookmarkStart w:id="20" w:name="revisión-bibliográfica"/>
    <w:p>
      <w:pPr>
        <w:pStyle w:val="Ttulo3"/>
      </w:pPr>
      <w:r>
        <w:t xml:space="preserve">Revisión bibliográfica</w:t>
      </w:r>
    </w:p>
    <w:p>
      <w:pPr>
        <w:pStyle w:val="FirstParagraph"/>
      </w:pPr>
      <w:r>
        <w:t xml:space="preserve">La revisión bibliográfica de los encinos de Guanajuato se llevó a cabo de tres maneras: (i) por medio de bases de datos públicas, (iii) por revisión bibliográfica de artículos y (iii) la actualización de registros de la plataforma web Naturalista. Disponible en https://www.naturalist.mx. La búsqueda de bases de datos se realizó mediante la plataforma GBIF, que incluye datos de múltiples herbarios de México y otros países. Se seleccionaron los registros con coordenadas y se georeferenciaron manualmente aquellos que no contaban con coordenadas pero que tuvieran suficiente información en la descripción de la localidad de colecta. La taxonomía de todos los registros fue actualizada utilizando el Catálogo de autoridad taxonómica del género Quercus, Fagaceae en México</w:t>
      </w:r>
      <w:r>
        <w:t xml:space="preserve"> </w:t>
      </w:r>
      <w:r>
        <w:t xml:space="preserve">(GBIFb 2023)</w:t>
      </w:r>
      <w:r>
        <w:t xml:space="preserve">. Finalmente, se filtraron los registros cuya elevación estuviera muy lejos del rango de elevación publicado para cada especie, para ser verificados en salidas de campo posteriores.</w:t>
      </w:r>
    </w:p>
    <w:p>
      <w:pPr>
        <w:pStyle w:val="Cuerpodetexto"/>
      </w:pPr>
    </w:p>
    <w:p>
      <w:pPr>
        <w:pStyle w:val="Cuerpodetexto"/>
      </w:pPr>
      <w:r>
        <w:t xml:space="preserve">Adicionalmente, se realizó una búsqueda de registros y listados florísticos de Guanajuato publicados en tesis y artículos científicos. Se utilizaron las siguientes palabras clave:</w:t>
      </w:r>
      <w:r>
        <w:t xml:space="preserve"> </w:t>
      </w:r>
      <w:r>
        <w:t xml:space="preserve">“</w:t>
      </w:r>
      <w:r>
        <w:t xml:space="preserve">oaks</w:t>
      </w:r>
      <w:r>
        <w:t xml:space="preserve">”</w:t>
      </w:r>
      <w:r>
        <w:t xml:space="preserve">,</w:t>
      </w:r>
      <w:r>
        <w:t xml:space="preserve"> </w:t>
      </w:r>
      <w:r>
        <w:t xml:space="preserve">“</w:t>
      </w:r>
      <w:r>
        <w:t xml:space="preserve">Guanajuato</w:t>
      </w:r>
      <w:r>
        <w:t xml:space="preserve">”</w:t>
      </w:r>
      <w:r>
        <w:t xml:space="preserve">,</w:t>
      </w:r>
      <w:r>
        <w:t xml:space="preserve"> </w:t>
      </w:r>
      <w:r>
        <w:t xml:space="preserve">“</w:t>
      </w:r>
      <w:r>
        <w:t xml:space="preserve">Quercus</w:t>
      </w:r>
      <w:r>
        <w:t xml:space="preserve">”</w:t>
      </w:r>
      <w:r>
        <w:t xml:space="preserve">,</w:t>
      </w:r>
      <w:r>
        <w:t xml:space="preserve"> </w:t>
      </w:r>
      <w:r>
        <w:t xml:space="preserve">“</w:t>
      </w:r>
      <w:r>
        <w:t xml:space="preserve">México central</w:t>
      </w:r>
      <w:r>
        <w:t xml:space="preserve">”</w:t>
      </w:r>
      <w:r>
        <w:t xml:space="preserve">,</w:t>
      </w:r>
      <w:r>
        <w:t xml:space="preserve"> </w:t>
      </w:r>
      <w:r>
        <w:t xml:space="preserve">“</w:t>
      </w:r>
      <w:r>
        <w:t xml:space="preserve">Fagaceae</w:t>
      </w:r>
      <w:r>
        <w:t xml:space="preserve">”</w:t>
      </w:r>
      <w:r>
        <w:t xml:space="preserve"> </w:t>
      </w:r>
      <w:r>
        <w:t xml:space="preserve">y buscadores como Scopus, Google Scholar, Dialnet, repositorios de tesis en línea (TESIUNAM, UGTO), etc. Para los registros obtenidos de regiones o polígonos, se utilizó el centroide del área como coordenada, y se les asignó el radio de un círculo que englobe el polígono como precisión.</w:t>
      </w:r>
    </w:p>
    <w:p>
      <w:pPr>
        <w:pStyle w:val="Cuerpodetexto"/>
      </w:pPr>
    </w:p>
    <w:p>
      <w:pPr>
        <w:pStyle w:val="Cuerpodetexto"/>
      </w:pPr>
      <w:r>
        <w:t xml:space="preserve">Por último, se revisaron los registros identificados como</w:t>
      </w:r>
      <w:r>
        <w:t xml:space="preserve"> </w:t>
      </w:r>
      <w:r>
        <w:t xml:space="preserve">“</w:t>
      </w:r>
      <w:r>
        <w:t xml:space="preserve">Quercus</w:t>
      </w:r>
      <w:r>
        <w:t xml:space="preserve">”</w:t>
      </w:r>
      <w:r>
        <w:t xml:space="preserve"> </w:t>
      </w:r>
      <w:r>
        <w:t xml:space="preserve">en la región de Guanajuato de la base de datos de Naturalista. Las imagenes con suficiente detalle fueron identificadas a nivel de especie y las demás se identificaron a nivel de género. La identificación se realizó utilizando recursos bibliográficos como claves taxonómicas para el género Quercus de la región del bajío y zonas aledañas</w:t>
      </w:r>
      <w:r>
        <w:t xml:space="preserve"> </w:t>
      </w:r>
      <w:r>
        <w:t xml:space="preserve">(Calderón de Rzedowski and Rzedowski 2005; Pérez Mojica et al. 2017; Rangel et al. 2002; Romero Rangel, Rojas Zenteno, and Rubio Licona 2014; Valencia-A. et al. 2017)</w:t>
      </w:r>
    </w:p>
    <w:bookmarkEnd w:id="20"/>
    <w:bookmarkEnd w:id="21"/>
    <w:bookmarkStart w:id="30" w:name="resultados-preeliminares"/>
    <w:p>
      <w:pPr>
        <w:pStyle w:val="Ttulo1"/>
      </w:pPr>
      <w:r>
        <w:t xml:space="preserve">Resultados preeliminares</w:t>
      </w:r>
    </w:p>
    <w:p>
      <w:pPr>
        <w:pStyle w:val="FirstParagraph"/>
      </w:pPr>
      <w:r>
        <w:t xml:space="preserve">Se encontraron 1455 registros en GBIF, de los cuales 620 están en proceso de ser manualmente georeferenciados. Los resultados preeliminares indican que hay un total de 37 especies de encino en la región. Sin embargo, los registros menos abundantes aún deben ser validados. Adicionalmente, en la revisión bibliográfica se encontraron 10 artículos científicos y 2 tesis de los cuales se obtuvieron 105 registros que corresponden a 25 especies de encinos.</w:t>
      </w:r>
    </w:p>
    <w:p>
      <w:pPr>
        <w:pStyle w:val="Cuerpodetexto"/>
      </w:pPr>
      <w:r>
        <w:t xml:space="preserve">Las especies con más registros fueron</w:t>
      </w:r>
      <w:r>
        <w:t xml:space="preserve"> </w:t>
      </w:r>
      <w:r>
        <w:rPr>
          <w:iCs/>
          <w:i/>
        </w:rPr>
        <w:t xml:space="preserve">Quercus rugosa</w:t>
      </w:r>
      <w:r>
        <w:t xml:space="preserve"> </w:t>
      </w:r>
      <w:r>
        <w:t xml:space="preserve">(11%) seguida de</w:t>
      </w:r>
      <w:r>
        <w:t xml:space="preserve"> </w:t>
      </w:r>
      <w:r>
        <w:rPr>
          <w:iCs/>
          <w:i/>
        </w:rPr>
        <w:t xml:space="preserve">Q. eduardii</w:t>
      </w:r>
      <w:r>
        <w:t xml:space="preserve"> </w:t>
      </w:r>
      <w:r>
        <w:t xml:space="preserve">(10%) y</w:t>
      </w:r>
      <w:r>
        <w:t xml:space="preserve"> </w:t>
      </w:r>
      <w:r>
        <w:rPr>
          <w:iCs/>
          <w:i/>
        </w:rPr>
        <w:t xml:space="preserve">Q. potosina</w:t>
      </w:r>
      <w:r>
        <w:t xml:space="preserve"> </w:t>
      </w:r>
      <w:r>
        <w:t xml:space="preserve">(8%). En contraste, 43% de las especies tienen menos de cinco registros (</w:t>
      </w:r>
      <w:hyperlink w:anchor="fig-barras">
        <w:r>
          <w:rPr>
            <w:rStyle w:val="Hyperlink"/>
          </w:rPr>
          <w:t xml:space="preserve">Figura 1</w:t>
        </w:r>
      </w:hyperlink>
      <w:r>
        <w:t xml:space="preserve">). Las regiones dentro de Guanajuato que tuvieron un mayor número de registros fueron en el noroeste y el noreste en las sierras y zonas aledañas de Sierra de Lobos, Santa Rosa y la Sierra Gorda (</w:t>
      </w:r>
      <w:hyperlink w:anchor="fig-mapa">
        <w:r>
          <w:rPr>
            <w:rStyle w:val="Hyperlink"/>
          </w:rPr>
          <w:t xml:space="preserve">Figura 2</w:t>
        </w:r>
      </w:hyperlink>
      <w:r>
        <w:t xml:space="preserve">).</w:t>
      </w:r>
    </w:p>
    <w:tbl>
      <w:tblPr>
        <w:tblStyle w:val="Table"/>
        <w:tblW w:type="pct" w:w="5000"/>
        <w:tblLook w:firstRow="0" w:lastRow="0" w:firstColumn="0" w:lastColumn="0" w:noHBand="0" w:noVBand="0" w:val="0000"/>
        <w:jc w:val="start"/>
      </w:tblPr>
      <w:tblGrid>
        <w:gridCol w:w="7920"/>
      </w:tblGrid>
      <w:tr>
        <w:tc>
          <w:tcPr/>
          <w:bookmarkStart w:id="25" w:name="fig-barras"/>
          <w:p>
            <w:pPr>
              <w:jc w:val="center"/>
            </w:pPr>
            <w:r>
              <w:drawing>
                <wp:inline>
                  <wp:extent cx="6362700" cy="3534833"/>
                  <wp:effectExtent b="0" l="0" r="0" t="0"/>
                  <wp:docPr descr="" title="" id="23" name="Picture"/>
                  <a:graphic>
                    <a:graphicData uri="http://schemas.openxmlformats.org/drawingml/2006/picture">
                      <pic:pic>
                        <pic:nvPicPr>
                          <pic:cNvPr descr="template_informe_parcial_files/figure-docx/fig-barras-1.png" id="24" name="Picture"/>
                          <pic:cNvPicPr>
                            <a:picLocks noChangeArrowheads="1" noChangeAspect="1"/>
                          </pic:cNvPicPr>
                        </pic:nvPicPr>
                        <pic:blipFill>
                          <a:blip r:embed="rId22"/>
                          <a:stretch>
                            <a:fillRect/>
                          </a:stretch>
                        </pic:blipFill>
                        <pic:spPr bwMode="auto">
                          <a:xfrm>
                            <a:off x="0" y="0"/>
                            <a:ext cx="6362700" cy="35348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Número de registros por especie</w:t>
            </w:r>
          </w:p>
          <w:bookmarkEnd w:id="25"/>
        </w:tc>
      </w:tr>
    </w:tbl>
    <w:p>
      <w:pPr>
        <w:pStyle w:val="Cuerpodetexto"/>
      </w:pPr>
      <w:r>
        <w:t xml:space="preserve"> </w:t>
      </w:r>
    </w:p>
    <w:tbl>
      <w:tblPr>
        <w:tblStyle w:val="Table"/>
        <w:tblW w:type="pct" w:w="5000"/>
        <w:tblLook w:firstRow="0" w:lastRow="0" w:firstColumn="0" w:lastColumn="0" w:noHBand="0" w:noVBand="0" w:val="0000"/>
        <w:jc w:val="start"/>
      </w:tblPr>
      <w:tblGrid>
        <w:gridCol w:w="7920"/>
      </w:tblGrid>
      <w:tr>
        <w:tc>
          <w:tcPr/>
          <w:bookmarkStart w:id="29" w:name="fig-mapa"/>
          <w:p>
            <w:pPr>
              <w:jc w:val="center"/>
            </w:pPr>
            <w:r>
              <w:drawing>
                <wp:inline>
                  <wp:extent cx="4587290" cy="3669832"/>
                  <wp:effectExtent b="0" l="0" r="0" t="0"/>
                  <wp:docPr descr="" title="" id="27" name="Picture"/>
                  <a:graphic>
                    <a:graphicData uri="http://schemas.openxmlformats.org/drawingml/2006/picture">
                      <pic:pic>
                        <pic:nvPicPr>
                          <pic:cNvPr descr="template_informe_parcial_files/figure-docx/fig-mapa-1.png" id="28"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Mapa de resultados preeliminares de registros de encinos de Guanajuato.</w:t>
            </w:r>
          </w:p>
          <w:bookmarkEnd w:id="29"/>
        </w:tc>
      </w:tr>
    </w:tbl>
    <w:bookmarkEnd w:id="30"/>
    <w:bookmarkStart w:id="31" w:name="listado-preeliminar"/>
    <w:p>
      <w:pPr>
        <w:pStyle w:val="Ttulo1"/>
      </w:pPr>
      <w:r>
        <w:t xml:space="preserve">Listado preeliminar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ID_SP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GENERO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ESPECIE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AUTOR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NOMBRE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COMUN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ENDEMICIDAD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IUCN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polymorpha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Schltdl. 1830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laeta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grisea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eduardi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resinosa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mexicana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crassipes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obtusata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deserticola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laurina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potosina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hintoniorum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Nixon 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VU</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castanea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jonesii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peduncularis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crassifolia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sideroxyla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rugosa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affinis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Scheidw. 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viminea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microphylla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hypoleucoides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A.Camus. 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greggii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repanda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acutifolia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VU</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magnoliifolia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fusiformis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Small 1903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confertifolia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glaucoides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 Martens et Galeotti 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aristata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Hook. 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glabrescens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Benth. 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xylina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Scheidw.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NT</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chihuahuensis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subspathulata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martinezii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C.H.Müll. 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emoryi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Torr. 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durifolia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von Seemen ex Loes. 1900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NT</w:t>
            </w:r>
          </w:p>
        </w:tc>
      </w:tr>
    </w:tbl>
    <w:bookmarkEnd w:id="31"/>
    <w:bookmarkStart w:id="43" w:name="bibliografía"/>
    <w:p>
      <w:pPr>
        <w:pStyle w:val="Ttulo1"/>
      </w:pPr>
      <w:r>
        <w:t xml:space="preserve">Bibliografía</w:t>
      </w:r>
    </w:p>
    <w:bookmarkStart w:id="42" w:name="refs"/>
    <w:bookmarkStart w:id="32" w:name="ref-calderonderzedowski2005"/>
    <w:p>
      <w:pPr>
        <w:pStyle w:val="Bibliography"/>
      </w:pPr>
      <w:r>
        <w:t xml:space="preserve">Calderón de Rzedowski, Graciela, and Jerzy Rzedowski. 2005.</w:t>
      </w:r>
      <w:r>
        <w:t xml:space="preserve"> </w:t>
      </w:r>
      <w:r>
        <w:rPr>
          <w:iCs/>
          <w:i/>
        </w:rPr>
        <w:t xml:space="preserve">Flora Fanerog</w:t>
      </w:r>
      <w:r>
        <w:rPr>
          <w:iCs/>
          <w:i/>
        </w:rPr>
        <w:t xml:space="preserve">á</w:t>
      </w:r>
      <w:r>
        <w:rPr>
          <w:iCs/>
          <w:i/>
        </w:rPr>
        <w:t xml:space="preserve">mica Del</w:t>
      </w:r>
      <w:r>
        <w:rPr>
          <w:iCs/>
          <w:i/>
        </w:rPr>
        <w:t xml:space="preserve"> </w:t>
      </w:r>
      <w:r>
        <w:rPr>
          <w:iCs/>
          <w:i/>
        </w:rPr>
        <w:t xml:space="preserve">Valle</w:t>
      </w:r>
      <w:r>
        <w:rPr>
          <w:iCs/>
          <w:i/>
        </w:rPr>
        <w:t xml:space="preserve"> </w:t>
      </w:r>
      <w:r>
        <w:rPr>
          <w:iCs/>
          <w:i/>
        </w:rPr>
        <w:t xml:space="preserve">de</w:t>
      </w:r>
      <w:r>
        <w:rPr>
          <w:iCs/>
          <w:i/>
        </w:rPr>
        <w:t xml:space="preserve"> </w:t>
      </w:r>
      <w:r>
        <w:rPr>
          <w:iCs/>
          <w:i/>
        </w:rPr>
        <w:t xml:space="preserve">M</w:t>
      </w:r>
      <w:r>
        <w:rPr>
          <w:iCs/>
          <w:i/>
        </w:rPr>
        <w:t xml:space="preserve">é</w:t>
      </w:r>
      <w:r>
        <w:rPr>
          <w:iCs/>
          <w:i/>
        </w:rPr>
        <w:t xml:space="preserve">xico</w:t>
      </w:r>
      <w:r>
        <w:t xml:space="preserve">. 2da ed.</w:t>
      </w:r>
      <w:r>
        <w:t xml:space="preserve"> </w:t>
      </w:r>
      <w:r>
        <w:t xml:space="preserve">INECOL A.C. y CONABIO</w:t>
      </w:r>
      <w:r>
        <w:t xml:space="preserve">.</w:t>
      </w:r>
    </w:p>
    <w:bookmarkEnd w:id="32"/>
    <w:bookmarkStart w:id="34" w:name="ref-gbif_catalogo"/>
    <w:p>
      <w:pPr>
        <w:pStyle w:val="Bibliography"/>
      </w:pPr>
      <w:r>
        <w:t xml:space="preserve">GBIFb. 2023.</w:t>
      </w:r>
      <w:r>
        <w:t xml:space="preserve"> </w:t>
      </w:r>
      <w:r>
        <w:t xml:space="preserve">“Occurrence Download.”</w:t>
      </w:r>
      <w:r>
        <w:t xml:space="preserve"> </w:t>
      </w:r>
      <w:r>
        <w:t xml:space="preserve">The Global Biodiversity Information Facility.</w:t>
      </w:r>
      <w:r>
        <w:t xml:space="preserve"> </w:t>
      </w:r>
      <w:hyperlink r:id="rId33">
        <w:r>
          <w:rPr>
            <w:rStyle w:val="Hyperlink"/>
          </w:rPr>
          <w:t xml:space="preserve">https://doi.org/10.15468/DL.W2DJDF</w:t>
        </w:r>
      </w:hyperlink>
      <w:r>
        <w:t xml:space="preserve">.</w:t>
      </w:r>
    </w:p>
    <w:bookmarkEnd w:id="34"/>
    <w:bookmarkStart w:id="36" w:name="ref-perezmojica2017"/>
    <w:p>
      <w:pPr>
        <w:pStyle w:val="Bibliography"/>
      </w:pPr>
      <w:r>
        <w:t xml:space="preserve">Pérez Mojica, Erika, Susana Valencia-A., Erika Pérez Mojica, and Susana Valencia-A. 2017.</w:t>
      </w:r>
      <w:r>
        <w:t xml:space="preserve"> </w:t>
      </w:r>
      <w:r>
        <w:t xml:space="preserve">“</w:t>
      </w:r>
      <w:r>
        <w:t xml:space="preserve">Estudio preliminar del g</w:t>
      </w:r>
      <w:r>
        <w:t xml:space="preserve">é</w:t>
      </w:r>
      <w:r>
        <w:t xml:space="preserve">nero Quercus (Fagaceae) en Tamaulipas, M</w:t>
      </w:r>
      <w:r>
        <w:t xml:space="preserve">é</w:t>
      </w:r>
      <w:r>
        <w:t xml:space="preserve">xico</w:t>
      </w:r>
      <w:r>
        <w:t xml:space="preserve">.”</w:t>
      </w:r>
      <w:r>
        <w:t xml:space="preserve"> </w:t>
      </w:r>
      <w:r>
        <w:rPr>
          <w:iCs/>
          <w:i/>
        </w:rPr>
        <w:t xml:space="preserve">Acta bot</w:t>
      </w:r>
      <w:r>
        <w:rPr>
          <w:iCs/>
          <w:i/>
        </w:rPr>
        <w:t xml:space="preserve">á</w:t>
      </w:r>
      <w:r>
        <w:rPr>
          <w:iCs/>
          <w:i/>
        </w:rPr>
        <w:t xml:space="preserve">nica mexicana</w:t>
      </w:r>
      <w:r>
        <w:t xml:space="preserve">, no. 120: 59–111.</w:t>
      </w:r>
      <w:r>
        <w:t xml:space="preserve"> </w:t>
      </w:r>
      <w:hyperlink r:id="rId35">
        <w:r>
          <w:rPr>
            <w:rStyle w:val="Hyperlink"/>
          </w:rPr>
          <w:t xml:space="preserve">https://doi.org/10.21829/abm120.2017.1264</w:t>
        </w:r>
      </w:hyperlink>
      <w:r>
        <w:t xml:space="preserve">.</w:t>
      </w:r>
    </w:p>
    <w:bookmarkEnd w:id="36"/>
    <w:bookmarkStart w:id="38" w:name="ref-rangel2002"/>
    <w:p>
      <w:pPr>
        <w:pStyle w:val="Bibliography"/>
      </w:pPr>
      <w:r>
        <w:t xml:space="preserve">Rangel, Silvia Romero, Ezequiel Carlos, Rojas Zenteno, Maria De Lourdes, and Aguilar Enriquez. 2002.</w:t>
      </w:r>
      <w:r>
        <w:t xml:space="preserve"> </w:t>
      </w:r>
      <w:r>
        <w:t xml:space="preserve">“El</w:t>
      </w:r>
      <w:r>
        <w:t xml:space="preserve"> </w:t>
      </w:r>
      <w:r>
        <w:t xml:space="preserve">Genero Quercus</w:t>
      </w:r>
      <w:r>
        <w:t xml:space="preserve"> </w:t>
      </w:r>
      <w:r>
        <w:t xml:space="preserve">(</w:t>
      </w:r>
      <w:r>
        <w:t xml:space="preserve">Fagaceae</w:t>
      </w:r>
      <w:r>
        <w:t xml:space="preserve">) En El</w:t>
      </w:r>
      <w:r>
        <w:t xml:space="preserve"> </w:t>
      </w:r>
      <w:r>
        <w:t xml:space="preserve">Estado</w:t>
      </w:r>
      <w:r>
        <w:t xml:space="preserve"> </w:t>
      </w:r>
      <w:r>
        <w:t xml:space="preserve">de</w:t>
      </w:r>
      <w:r>
        <w:t xml:space="preserve"> </w:t>
      </w:r>
      <w:r>
        <w:t xml:space="preserve">Mexico</w:t>
      </w:r>
      <w:r>
        <w:t xml:space="preserve">.”</w:t>
      </w:r>
      <w:r>
        <w:t xml:space="preserve"> </w:t>
      </w:r>
      <w:r>
        <w:rPr>
          <w:iCs/>
          <w:i/>
        </w:rPr>
        <w:t xml:space="preserve">Annals of the Missouri Botanical Garden</w:t>
      </w:r>
      <w:r>
        <w:t xml:space="preserve"> </w:t>
      </w:r>
      <w:r>
        <w:t xml:space="preserve">89 (4): 551.</w:t>
      </w:r>
      <w:r>
        <w:t xml:space="preserve"> </w:t>
      </w:r>
      <w:hyperlink r:id="rId37">
        <w:r>
          <w:rPr>
            <w:rStyle w:val="Hyperlink"/>
          </w:rPr>
          <w:t xml:space="preserve">https://doi.org/10.2307/3298595</w:t>
        </w:r>
      </w:hyperlink>
      <w:r>
        <w:t xml:space="preserve">.</w:t>
      </w:r>
    </w:p>
    <w:bookmarkEnd w:id="38"/>
    <w:bookmarkStart w:id="39" w:name="ref-romerorangel2014"/>
    <w:p>
      <w:pPr>
        <w:pStyle w:val="Bibliography"/>
      </w:pPr>
      <w:r>
        <w:t xml:space="preserve">Romero Rangel, Silvia, Ezequiel Carlos Rojas Zenteno, and Liliana Elizabeth Rubio Licona. 2014.</w:t>
      </w:r>
      <w:r>
        <w:t xml:space="preserve"> </w:t>
      </w:r>
      <w:r>
        <w:t xml:space="preserve">“Flora Del</w:t>
      </w:r>
      <w:r>
        <w:t xml:space="preserve"> </w:t>
      </w:r>
      <w:r>
        <w:t xml:space="preserve">Baj</w:t>
      </w:r>
      <w:r>
        <w:t xml:space="preserve">í</w:t>
      </w:r>
      <w:r>
        <w:t xml:space="preserve">o</w:t>
      </w:r>
      <w:r>
        <w:t xml:space="preserve"> </w:t>
      </w:r>
      <w:r>
        <w:t xml:space="preserve">y Regiones Adyacentes:</w:t>
      </w:r>
      <w:r>
        <w:t xml:space="preserve"> </w:t>
      </w:r>
      <w:r>
        <w:t xml:space="preserve">Fagaceae</w:t>
      </w:r>
      <w:r>
        <w:t xml:space="preserve">.”</w:t>
      </w:r>
      <w:r>
        <w:t xml:space="preserve"> </w:t>
      </w:r>
      <w:r>
        <w:t xml:space="preserve">INECOL</w:t>
      </w:r>
      <w:r>
        <w:t xml:space="preserve">.</w:t>
      </w:r>
    </w:p>
    <w:bookmarkEnd w:id="39"/>
    <w:bookmarkStart w:id="41" w:name="ref-valencia-a.2017"/>
    <w:p>
      <w:pPr>
        <w:pStyle w:val="Bibliography"/>
      </w:pPr>
      <w:r>
        <w:t xml:space="preserve">Valencia-A., Susana, Gabriel Flores-Franco, Jaime Jiménez-Ramírez, and Mauricio Mora-Jarvio. 2017.</w:t>
      </w:r>
      <w:r>
        <w:t xml:space="preserve"> </w:t>
      </w:r>
      <w:r>
        <w:t xml:space="preserve">“Distribution and Diversity of</w:t>
      </w:r>
      <w:r>
        <w:t xml:space="preserve"> </w:t>
      </w:r>
      <w:r>
        <w:t xml:space="preserve">Fagaceae</w:t>
      </w:r>
      <w:r>
        <w:t xml:space="preserve"> </w:t>
      </w:r>
      <w:r>
        <w:t xml:space="preserve">in</w:t>
      </w:r>
      <w:r>
        <w:t xml:space="preserve"> </w:t>
      </w:r>
      <w:r>
        <w:t xml:space="preserve">Hidalgo</w:t>
      </w:r>
      <w:r>
        <w:t xml:space="preserve">,</w:t>
      </w:r>
      <w:r>
        <w:t xml:space="preserve"> </w:t>
      </w:r>
      <w:r>
        <w:t xml:space="preserve">Mexico</w:t>
      </w:r>
      <w:r>
        <w:t xml:space="preserve">.”</w:t>
      </w:r>
      <w:r>
        <w:t xml:space="preserve"> </w:t>
      </w:r>
      <w:r>
        <w:rPr>
          <w:iCs/>
          <w:i/>
        </w:rPr>
        <w:t xml:space="preserve">Botanical Sciences</w:t>
      </w:r>
      <w:r>
        <w:t xml:space="preserve"> </w:t>
      </w:r>
      <w:r>
        <w:t xml:space="preserve">95 (4): 660–721.</w:t>
      </w:r>
      <w:r>
        <w:t xml:space="preserve"> </w:t>
      </w:r>
      <w:hyperlink r:id="rId40">
        <w:r>
          <w:rPr>
            <w:rStyle w:val="Hyperlink"/>
          </w:rPr>
          <w:t xml:space="preserve">https://doi.org/10.17129/botsci.1020</w:t>
        </w:r>
      </w:hyperlink>
      <w:r>
        <w:t xml:space="preserve">.</w:t>
      </w:r>
    </w:p>
    <w:bookmarkEnd w:id="41"/>
    <w:bookmarkEnd w:id="42"/>
    <w:bookmarkEnd w:id="43"/>
    <w:sectPr>
      <w:headerReference r:id="rId9" w:type="default"/>
      <w:footerReference r:id="rId10" w:type="default"/>
      <w:type w:val="nextPage"/>
      <w:pgSz w:h="16838" w:w="11906"/>
      <w:pgMar w:bottom="720" w:footer="289" w:gutter="0" w:header="0" w:left="936" w:right="936" w:top="720"/>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76" w:before="0" w:after="0"/>
      <w:ind w:left="0" w:right="0" w:hanging="0"/>
      <w:jc w:val="center"/>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fldChar w:fldCharType="begin"/>
    </w:r>
    <w:r>
      <w:rPr/>
      <w:instrText xml:space="preserve"> PAGE </w:instrText>
    </w:r>
    <w:r>
      <w:rPr/>
      <w:fldChar w:fldCharType="separate"/>
    </w:r>
    <w:r>
      <w:rPr/>
      <w:t>2</w:t>
    </w:r>
    <w:r>
      <w:rPr/>
      <w:fldChar w:fldCharType="end"/>
    </w:r>
  </w:p>
  <w:p>
    <w:pPr>
      <w:pStyle w:val="LOnormal"/>
      <w:keepNext w:val="false"/>
      <w:keepLines w:val="false"/>
      <w:pageBreakBefore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035" w:type="dxa"/>
      <w:jc w:val="left"/>
      <w:tblInd w:w="0" w:type="dxa"/>
      <w:tblLayout w:type="fixed"/>
      <w:tblCellMar>
        <w:top w:w="0" w:type="dxa"/>
        <w:left w:w="108" w:type="dxa"/>
        <w:bottom w:w="0" w:type="dxa"/>
        <w:right w:w="108" w:type="dxa"/>
      </w:tblCellMar>
      <w:tblLook w:val="0000"/>
    </w:tblPr>
    <w:tblGrid>
      <w:gridCol w:w="10035"/>
    </w:tblGrid>
    <w:tr>
      <w:trPr>
        <w:trHeight w:val="1134" w:hRule="atLeast"/>
      </w:trPr>
      <w:tc>
        <w:tcPr>
          <w:tcW w:w="10035" w:type="dxa"/>
          <w:tcBorders>
            <w:bottom w:val="single" w:sz="36" w:space="0" w:color="34ABA2"/>
          </w:tcBorders>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drawing>
              <wp:anchor behindDoc="1" distT="0" distB="0" distL="0" distR="0" simplePos="0" locked="0" layoutInCell="1" allowOverlap="1" relativeHeight="3">
                <wp:simplePos x="0" y="0"/>
                <wp:positionH relativeFrom="column">
                  <wp:posOffset>2575560</wp:posOffset>
                </wp:positionH>
                <wp:positionV relativeFrom="paragraph">
                  <wp:posOffset>57150</wp:posOffset>
                </wp:positionV>
                <wp:extent cx="619125" cy="64833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19125" cy="648335"/>
                        </a:xfrm>
                        <a:prstGeom prst="rect">
                          <a:avLst/>
                        </a:prstGeom>
                      </pic:spPr>
                    </pic:pic>
                  </a:graphicData>
                </a:graphic>
              </wp:anchor>
            </w:drawing>
          </w:r>
        </w:p>
      </w:tc>
    </w:tr>
  </w:tbl>
  <w:p>
    <w:pPr>
      <w:pStyle w:val="LOnormal"/>
      <w:keepNext w:val="false"/>
      <w:keepLines w:val="false"/>
      <w:pageBreakBefore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643"/>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MX"/>
      </w:rPr>
    </w:rPrDefault>
    <w:pPrDefault>
      <w:pPr>
        <w:suppressAutoHyphens w:val="true"/>
      </w:pPr>
    </w:pPrDefault>
  </w:docDefaults>
  <w:style w:styleId="Normal" w:type="paragraph">
    <w:name w:val="Normal"/>
    <w:qFormat/>
    <w:pPr>
      <w:widowControl/>
      <w:suppressAutoHyphens w:val="true"/>
      <w:bidi w:val="0"/>
      <w:spacing w:after="0" w:before="0" w:line="276" w:lineRule="auto"/>
      <w:jc w:val="both"/>
    </w:pPr>
    <w:rPr>
      <w:rFonts w:ascii="Calibri" w:cs="Calibri" w:eastAsia="Calibri" w:hAnsi="Calibri"/>
      <w:color w:val="auto"/>
      <w:kern w:val="0"/>
      <w:sz w:val="22"/>
      <w:szCs w:val="22"/>
      <w:lang w:bidi="hi-IN" w:eastAsia="zh-CN" w:val="es-MX"/>
    </w:rPr>
  </w:style>
  <w:style w:styleId="Ttulo1" w:type="paragraph">
    <w:name w:val="Heading 1"/>
    <w:basedOn w:val="LOnormal"/>
    <w:next w:val="LOnormal"/>
    <w:qFormat/>
    <w:pPr>
      <w:keepNext w:val="true"/>
      <w:spacing w:after="60" w:before="240" w:line="240" w:lineRule="auto"/>
    </w:pPr>
    <w:rPr>
      <w:rFonts w:ascii="Arial" w:cs="Arial" w:eastAsia="Arial" w:hAnsi="Arial"/>
      <w:color w:val="061F57"/>
      <w:sz w:val="32"/>
      <w:szCs w:val="32"/>
    </w:rPr>
  </w:style>
  <w:style w:styleId="Ttulo2" w:type="paragraph">
    <w:name w:val="Heading 2"/>
    <w:basedOn w:val="LOnormal"/>
    <w:next w:val="LOnormal"/>
    <w:qFormat/>
    <w:pPr>
      <w:keepNext w:val="true"/>
      <w:spacing w:after="240" w:before="0" w:line="240" w:lineRule="auto"/>
    </w:pPr>
    <w:rPr>
      <w:b w:val="false"/>
      <w:sz w:val="36"/>
      <w:szCs w:val="36"/>
    </w:rPr>
  </w:style>
  <w:style w:styleId="Ttulo3" w:type="paragraph">
    <w:name w:val="Heading 3"/>
    <w:basedOn w:val="LOnormal"/>
    <w:next w:val="LOnormal"/>
    <w:qFormat/>
    <w:pPr>
      <w:keepNext w:val="true"/>
      <w:keepLines/>
      <w:pageBreakBefore w:val="false"/>
      <w:spacing w:after="80" w:before="280" w:line="240" w:lineRule="auto"/>
    </w:pPr>
    <w:rPr>
      <w:b/>
      <w:sz w:val="28"/>
      <w:szCs w:val="28"/>
    </w:rPr>
  </w:style>
  <w:style w:styleId="Ttulo4" w:type="paragraph">
    <w:name w:val="Heading 4"/>
    <w:basedOn w:val="LOnormal"/>
    <w:next w:val="LOnormal"/>
    <w:qFormat/>
    <w:pPr>
      <w:keepNext w:val="true"/>
      <w:keepLines/>
      <w:pageBreakBefore w:val="false"/>
      <w:spacing w:after="40" w:before="240" w:line="240" w:lineRule="auto"/>
    </w:pPr>
    <w:rPr>
      <w:b/>
      <w:sz w:val="24"/>
      <w:szCs w:val="24"/>
    </w:rPr>
  </w:style>
  <w:style w:styleId="Ttulo5" w:type="paragraph">
    <w:name w:val="Heading 5"/>
    <w:basedOn w:val="LOnormal"/>
    <w:next w:val="LOnormal"/>
    <w:qFormat/>
    <w:pPr>
      <w:keepNext w:val="true"/>
      <w:keepLines/>
      <w:pageBreakBefore w:val="false"/>
      <w:spacing w:after="40" w:before="220" w:line="240" w:lineRule="auto"/>
    </w:pPr>
    <w:rPr>
      <w:b/>
      <w:sz w:val="22"/>
      <w:szCs w:val="22"/>
    </w:rPr>
  </w:style>
  <w:style w:styleId="Ttulo6" w:type="paragraph">
    <w:name w:val="Heading 6"/>
    <w:basedOn w:val="LOnormal"/>
    <w:next w:val="LOnormal"/>
    <w:qFormat/>
    <w:pPr>
      <w:keepNext w:val="true"/>
      <w:keepLines/>
      <w:pageBreakBefore w:val="false"/>
      <w:spacing w:after="40" w:before="200" w:line="240" w:lineRule="auto"/>
    </w:pPr>
    <w:rPr>
      <w:b/>
      <w:sz w:val="20"/>
      <w:szCs w:val="20"/>
    </w:rPr>
  </w:style>
  <w:style w:styleId="Ttulo" w:type="paragraph">
    <w:name w:val="Título"/>
    <w:basedOn w:val="Normal"/>
    <w:next w:val="Cuerpodetexto"/>
    <w:qFormat/>
    <w:pPr>
      <w:keepNext w:val="true"/>
      <w:spacing w:after="120" w:before="240"/>
    </w:pPr>
    <w:rPr>
      <w:rFonts w:ascii="Liberation Sans" w:cs="Lohit Devanagari" w:eastAsia="Noto Sans CJK SC" w:hAnsi="Liberation Sans"/>
      <w:sz w:val="28"/>
      <w:szCs w:val="28"/>
    </w:rPr>
  </w:style>
  <w:style w:styleId="Cuerpodetexto" w:type="paragraph">
    <w:name w:val="Body Text"/>
    <w:basedOn w:val="Normal"/>
    <w:pPr>
      <w:spacing w:after="140" w:before="0" w:line="276" w:lineRule="auto"/>
    </w:pPr>
    <w:rPr/>
  </w:style>
  <w:style w:styleId="Lista" w:type="paragraph">
    <w:name w:val="List"/>
    <w:basedOn w:val="Cuerpodetexto"/>
    <w:pPr/>
    <w:rPr>
      <w:rFonts w:cs="Lohit Devanagari"/>
    </w:rPr>
  </w:style>
  <w:style w:styleId="Leyenda" w:type="paragraph">
    <w:name w:val="Caption"/>
    <w:basedOn w:val="Normal"/>
    <w:qFormat/>
    <w:pPr>
      <w:suppressLineNumbers/>
      <w:spacing w:after="120" w:before="120"/>
    </w:pPr>
    <w:rPr>
      <w:rFonts w:cs="Lohit Devanagari"/>
      <w:i/>
      <w:iCs/>
      <w:sz w:val="24"/>
      <w:szCs w:val="24"/>
    </w:rPr>
  </w:style>
  <w:style w:styleId="Ndice" w:type="paragraph">
    <w:name w:val="Índice"/>
    <w:basedOn w:val="Normal"/>
    <w:qFormat/>
    <w:pPr>
      <w:suppressLineNumbers/>
    </w:pPr>
    <w:rPr>
      <w:rFonts w:cs="Lohit Devanagari"/>
    </w:rPr>
  </w:style>
  <w:style w:default="1" w:styleId="LOnormal" w:type="paragraph">
    <w:name w:val="LO-normal"/>
    <w:qFormat/>
    <w:pPr>
      <w:widowControl/>
      <w:suppressAutoHyphens w:val="true"/>
      <w:bidi w:val="0"/>
      <w:spacing w:after="0" w:before="0" w:line="276" w:lineRule="auto"/>
      <w:jc w:val="both"/>
    </w:pPr>
    <w:rPr>
      <w:rFonts w:ascii="Calibri" w:cs="Calibri" w:eastAsia="Calibri" w:hAnsi="Calibri"/>
      <w:color w:val="auto"/>
      <w:kern w:val="0"/>
      <w:sz w:val="22"/>
      <w:szCs w:val="22"/>
      <w:lang w:bidi="hi-IN" w:eastAsia="zh-CN" w:val="es-MX"/>
    </w:rPr>
  </w:style>
  <w:style w:styleId="Ttulogeneral" w:type="paragraph">
    <w:name w:val="Title"/>
    <w:basedOn w:val="LOnormal"/>
    <w:next w:val="LOnormal"/>
    <w:qFormat/>
    <w:pPr>
      <w:spacing w:after="200" w:before="0" w:line="240" w:lineRule="auto"/>
      <w:jc w:val="center"/>
    </w:pPr>
    <w:rPr>
      <w:rFonts w:ascii="Arial" w:cs="Arial" w:eastAsia="Arial" w:hAnsi="Arial"/>
      <w:b/>
      <w:color w:val="3465A4"/>
      <w:sz w:val="48"/>
      <w:szCs w:val="72"/>
    </w:rPr>
  </w:style>
  <w:style w:styleId="Subttulo" w:type="paragraph">
    <w:name w:val="Subtitle"/>
    <w:basedOn w:val="LOnormal"/>
    <w:next w:val="LOnormal"/>
    <w:qFormat/>
    <w:pPr>
      <w:jc w:val="left"/>
    </w:pPr>
    <w:rPr>
      <w:b w:val="false"/>
      <w:smallCaps/>
      <w:color w:val="3465A4"/>
      <w:sz w:val="36"/>
      <w:szCs w:val="32"/>
    </w:rPr>
  </w:style>
  <w:style w:styleId="Cabeceraypie" w:type="paragraph">
    <w:name w:val="Cabecera y pie"/>
    <w:basedOn w:val="Normal"/>
    <w:qFormat/>
    <w:pPr/>
    <w:rPr/>
  </w:style>
  <w:style w:styleId="Cabecera" w:type="paragraph">
    <w:name w:val="Header"/>
    <w:basedOn w:val="Cabeceraypie"/>
    <w:pPr/>
    <w:rPr/>
  </w:style>
  <w:style w:styleId="Piedepgina" w:type="paragraph">
    <w:name w:val="Footer"/>
    <w:basedOn w:val="Cabeceraypie"/>
    <w:pPr/>
    <w:rPr/>
  </w:style>
  <w:style w:styleId="Ttulodelndice" w:type="paragraph">
    <w:name w:val="Index Heading"/>
    <w:basedOn w:val="Ttulo"/>
    <w:pPr>
      <w:suppressLineNumbers/>
      <w:ind w:hanging="0" w:left="0"/>
    </w:pPr>
    <w:rPr>
      <w:b/>
      <w:bCs/>
      <w:sz w:val="32"/>
      <w:szCs w:val="32"/>
    </w:rPr>
  </w:style>
  <w:style w:styleId="Ttulodelsumario" w:type="paragraph">
    <w:name w:val="TOC Heading"/>
    <w:basedOn w:val="Ttulodelndice"/>
    <w:pPr>
      <w:suppressLineNumbers/>
      <w:ind w:hanging="0" w:left="0"/>
    </w:pPr>
    <w:rPr>
      <w:rFonts w:ascii="Arial" w:hAnsi="Arial"/>
      <w:b/>
      <w:bCs/>
      <w:color w:val="3465A4"/>
      <w:sz w:val="32"/>
      <w:szCs w:val="32"/>
    </w:rPr>
  </w:style>
  <w:style w:styleId="Sumario1" w:type="paragraph">
    <w:name w:val="TOC 1"/>
    <w:basedOn w:val="Ndice"/>
    <w:pPr>
      <w:tabs>
        <w:tab w:pos="643" w:val="clear"/>
        <w:tab w:leader="dot" w:pos="10034" w:val="right"/>
      </w:tabs>
      <w:ind w:hanging="0" w:left="0"/>
    </w:pPr>
    <w:rPr/>
  </w:style>
  <w:style w:styleId="Sumario2" w:type="paragraph">
    <w:name w:val="TOC 2"/>
    <w:basedOn w:val="Ndice"/>
    <w:pPr>
      <w:tabs>
        <w:tab w:pos="643" w:val="clear"/>
        <w:tab w:leader="dot" w:pos="9751" w:val="right"/>
      </w:tabs>
      <w:ind w:hanging="0" w:left="283"/>
    </w:pPr>
    <w:rPr/>
  </w:style>
  <w:style w:styleId="Sumario3" w:type="paragraph">
    <w:name w:val="TOC 3"/>
    <w:basedOn w:val="Ndice"/>
    <w:pPr>
      <w:tabs>
        <w:tab w:pos="643" w:val="clear"/>
        <w:tab w:leader="dot" w:pos="9467" w:val="right"/>
      </w:tabs>
      <w:ind w:hanging="0" w:left="567"/>
    </w:pPr>
    <w:rPr/>
  </w:style>
  <w:style w:default="1" w:styleId="TableNormal" w:type="table">
    <w:name w:val="Table Normal"/>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33" Target="https://doi.org/10.15468/DL.W2DJDF" TargetMode="External" /><Relationship Type="http://schemas.openxmlformats.org/officeDocument/2006/relationships/hyperlink" Id="rId40" Target="https://doi.org/10.17129/botsci.1020" TargetMode="External" /><Relationship Type="http://schemas.openxmlformats.org/officeDocument/2006/relationships/hyperlink" Id="rId35" Target="https://doi.org/10.21829/abm120.2017.1264" TargetMode="External" /><Relationship Type="http://schemas.openxmlformats.org/officeDocument/2006/relationships/hyperlink" Id="rId37" Target="https://doi.org/10.2307/3298595"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5468/DL.W2DJDF" TargetMode="External" /><Relationship Type="http://schemas.openxmlformats.org/officeDocument/2006/relationships/hyperlink" Id="rId40" Target="https://doi.org/10.17129/botsci.1020" TargetMode="External" /><Relationship Type="http://schemas.openxmlformats.org/officeDocument/2006/relationships/hyperlink" Id="rId35" Target="https://doi.org/10.21829/abm120.2017.1264" TargetMode="External" /><Relationship Type="http://schemas.openxmlformats.org/officeDocument/2006/relationships/hyperlink" Id="rId37" Target="https://doi.org/10.2307/3298595"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39</Words>
  <Characters>357</Characters>
  <CharactersWithSpaces>385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especializado de flora y fauna en zonas de conectividad del estado de Guanajuato</dc:title>
  <dc:creator>Hernando Rodríguez-Correa; Sofía Zorrilla Azcué; Lizeth Melissa Naranjo Bravo</dc:creator>
  <cp:keywords/>
  <dcterms:created xsi:type="dcterms:W3CDTF">2023-12-21T19:19:25Z</dcterms:created>
  <dcterms:modified xsi:type="dcterms:W3CDTF">2023-12-21T19:19:25Z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2023-12-21</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subtitle">
    <vt:lpwstr>1er informe bimestral</vt:lpwstr>
  </property>
  <property fmtid="{D5CDD505-2E9C-101B-9397-08002B2CF9AE}" pid="13" name="toc-title">
    <vt:lpwstr>Table of contents</vt:lpwstr>
  </property>
</Properties>
</file>