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general"/>
      </w:pPr>
      <w:r>
        <w:t xml:space="preserve">Monitoreo</w:t>
      </w:r>
      <w:r>
        <w:t xml:space="preserve"> </w:t>
      </w:r>
      <w:r>
        <w:t xml:space="preserve">especializado</w:t>
      </w:r>
      <w:r>
        <w:t xml:space="preserve"> </w:t>
      </w:r>
      <w:r>
        <w:t xml:space="preserve">de</w:t>
      </w:r>
      <w:r>
        <w:t xml:space="preserve"> </w:t>
      </w:r>
      <w:r>
        <w:t xml:space="preserve">flora</w:t>
      </w:r>
      <w:r>
        <w:t xml:space="preserve"> </w:t>
      </w:r>
      <w:r>
        <w:t xml:space="preserve">y</w:t>
      </w:r>
      <w:r>
        <w:t xml:space="preserve"> </w:t>
      </w:r>
      <w:r>
        <w:t xml:space="preserve">fauna</w:t>
      </w:r>
      <w:r>
        <w:t xml:space="preserve"> </w:t>
      </w:r>
      <w:r>
        <w:t xml:space="preserve">en</w:t>
      </w:r>
      <w:r>
        <w:t xml:space="preserve"> </w:t>
      </w:r>
      <w:r>
        <w:t xml:space="preserve">zonas</w:t>
      </w:r>
      <w:r>
        <w:t xml:space="preserve"> </w:t>
      </w:r>
      <w:r>
        <w:t xml:space="preserve">de</w:t>
      </w:r>
      <w:r>
        <w:t xml:space="preserve"> </w:t>
      </w:r>
      <w:r>
        <w:t xml:space="preserve">conectividad</w:t>
      </w:r>
      <w:r>
        <w:t xml:space="preserve"> </w:t>
      </w:r>
      <w:r>
        <w:t xml:space="preserve">del</w:t>
      </w:r>
      <w:r>
        <w:t xml:space="preserve"> </w:t>
      </w:r>
      <w:r>
        <w:t xml:space="preserve">estado</w:t>
      </w:r>
      <w:r>
        <w:t xml:space="preserve"> </w:t>
      </w:r>
      <w:r>
        <w:t xml:space="preserve">de</w:t>
      </w:r>
      <w:r>
        <w:t xml:space="preserve"> </w:t>
      </w:r>
      <w:r>
        <w:t xml:space="preserve">Guanajuato</w:t>
      </w:r>
    </w:p>
    <w:p>
      <w:pPr>
        <w:pStyle w:val="Subttulo"/>
      </w:pPr>
      <w:r>
        <w:t xml:space="preserve">1er</w:t>
      </w:r>
      <w:r>
        <w:t xml:space="preserve"> </w:t>
      </w:r>
      <w:r>
        <w:t xml:space="preserve">informe</w:t>
      </w:r>
      <w:r>
        <w:t xml:space="preserve"> </w:t>
      </w:r>
      <w:r>
        <w:t xml:space="preserve">bimestral</w:t>
      </w:r>
    </w:p>
    <w:p>
      <w:pPr>
        <w:pStyle w:val="Author"/>
      </w:pPr>
      <w:r>
        <w:t xml:space="preserve">Hernando</w:t>
      </w:r>
      <w:r>
        <w:t xml:space="preserve"> </w:t>
      </w:r>
      <w:r>
        <w:t xml:space="preserve">Rodríguez-Correa</w:t>
      </w:r>
    </w:p>
    <w:p>
      <w:pPr>
        <w:pStyle w:val="Author"/>
      </w:pPr>
      <w:r>
        <w:t xml:space="preserve">Sofía</w:t>
      </w:r>
      <w:r>
        <w:t xml:space="preserve"> </w:t>
      </w:r>
      <w:r>
        <w:t xml:space="preserve">Zorrilla</w:t>
      </w:r>
      <w:r>
        <w:t xml:space="preserve"> </w:t>
      </w:r>
      <w:r>
        <w:t xml:space="preserve">Azcué</w:t>
      </w:r>
    </w:p>
    <w:p>
      <w:pPr>
        <w:pStyle w:val="Author"/>
      </w:pPr>
      <w:r>
        <w:t xml:space="preserve">Lizeth</w:t>
      </w:r>
      <w:r>
        <w:t xml:space="preserve"> </w:t>
      </w:r>
      <w:r>
        <w:t xml:space="preserve">Melissa</w:t>
      </w:r>
      <w:r>
        <w:t xml:space="preserve"> </w:t>
      </w:r>
      <w:r>
        <w:t xml:space="preserve">Naranjo</w:t>
      </w:r>
      <w:r>
        <w:t xml:space="preserve"> </w:t>
      </w:r>
      <w:r>
        <w:t xml:space="preserve">Bravo</w:t>
      </w:r>
    </w:p>
    <w:p>
      <w:pPr>
        <w:pStyle w:val="Date"/>
      </w:pPr>
      <w:r>
        <w:t xml:space="preserve">2023-11-29</w:t>
      </w:r>
    </w:p>
    <w:bookmarkStart w:id="21" w:name="métodos"/>
    <w:p>
      <w:pPr>
        <w:pStyle w:val="Ttulo1"/>
      </w:pPr>
      <w:r>
        <w:t xml:space="preserve">Métodos</w:t>
      </w:r>
    </w:p>
    <w:bookmarkStart w:id="20" w:name="revisión-bibliográfica"/>
    <w:p>
      <w:pPr>
        <w:pStyle w:val="Ttulo3"/>
      </w:pPr>
      <w:r>
        <w:t xml:space="preserve">Revisión bibliográfica</w:t>
      </w:r>
    </w:p>
    <w:p>
      <w:pPr>
        <w:pStyle w:val="FirstParagraph"/>
      </w:pPr>
      <w:r>
        <w:t xml:space="preserve">La revisión bibliográfica de los encinos de Guanajuato se llevó a cabo de diferentes maneras. Por un lado, mediante la recopilación de registros en bases de datos públicas, como GBIF</w:t>
      </w:r>
      <w:r>
        <w:t xml:space="preserve"> </w:t>
      </w:r>
      <w:r>
        <w:t xml:space="preserve">(GBIFa 2023)</w:t>
      </w:r>
      <w:r>
        <w:t xml:space="preserve">, que incluye datos de múltiples herbarios de México y otros países. Se filtraron los registros provenientes de Naturalista, ya que estos serán identificados y revisados durante el curso del proyecto (ver descripción más adelante). Adicionalmente, se georeferenciaron manualmente aquellos que tenían suficiente información en la descripción de la localidad de colecta, y se descartaron los registros con información geográfica insuficiente. La taxonomía de todos los registros fue actualizada utilizando el Catálogo de autoridad taxonómica del género Quercus, Fagaceae en México</w:t>
      </w:r>
      <w:r>
        <w:t xml:space="preserve"> </w:t>
      </w:r>
      <w:r>
        <w:t xml:space="preserve">(GBIFb 2023)</w:t>
      </w:r>
      <w:r>
        <w:t xml:space="preserve">. Finalmente, se filtraron los registros cuya elevación estuviera muy lejos del rango de elevación publicado para cada especie, para ser verificados en salidas de campo posteriores.</w:t>
      </w:r>
    </w:p>
    <w:p>
      <w:pPr>
        <w:pStyle w:val="Cuerpodetexto"/>
      </w:pPr>
    </w:p>
    <w:p>
      <w:pPr>
        <w:pStyle w:val="Cuerpodetexto"/>
      </w:pPr>
      <w:r>
        <w:t xml:space="preserve">Adicionalmente, se realizó una búsqueda de registros y listados florísticos de Guanajuato publicados en tesis y artículos científicos utilizando las siguientes palabras clave: PALABRAS CLAVE. Para los registros obtenidos de regiones o polígonos, se utilizó el centroide del área como coordenada, y se les asignó el radio de un círculo que englobe la región como precisión.</w:t>
      </w:r>
    </w:p>
    <w:p>
      <w:pPr>
        <w:pStyle w:val="Cuerpodetexto"/>
      </w:pPr>
    </w:p>
    <w:p>
      <w:pPr>
        <w:pStyle w:val="Cuerpodetexto"/>
      </w:pPr>
      <w:r>
        <w:t xml:space="preserve">Por último, se revisaron los registros identificados como</w:t>
      </w:r>
      <w:r>
        <w:t xml:space="preserve"> </w:t>
      </w:r>
      <w:r>
        <w:t xml:space="preserve">“</w:t>
      </w:r>
      <w:r>
        <w:t xml:space="preserve">Quercus</w:t>
      </w:r>
      <w:r>
        <w:t xml:space="preserve">”</w:t>
      </w:r>
      <w:r>
        <w:t xml:space="preserve"> </w:t>
      </w:r>
      <w:r>
        <w:t xml:space="preserve">de la base de datos de Naturalista. Las imagenes con suficiente detalle fueron identificadas a nivel de especie, las demás asignarion al género.</w:t>
      </w:r>
    </w:p>
    <w:bookmarkEnd w:id="20"/>
    <w:bookmarkEnd w:id="21"/>
    <w:bookmarkStart w:id="25" w:name="resultados-preeliminares"/>
    <w:p>
      <w:pPr>
        <w:pStyle w:val="Ttulo1"/>
      </w:pPr>
      <w:r>
        <w:t xml:space="preserve">Resultados preeliminares</w:t>
      </w:r>
    </w:p>
    <w:p>
      <w:pPr>
        <w:pStyle w:val="FirstParagraph"/>
      </w:pPr>
      <w:r>
        <w:t xml:space="preserve">Se encontraron XXX registros en GBIF, de los cuales XXX fueron manualmente georeferenciados. Los resultados preeliminares indican que hay un total de 37 especies de encino en la región. Sin embargo, los registros menos abundantes aún deben ser validados.</w:t>
      </w:r>
    </w:p>
    <w:p>
      <w:pPr>
        <w:pStyle w:val="Cuerpodetexto"/>
      </w:pPr>
      <w:r>
        <w:drawing>
          <wp:inline>
            <wp:extent cx="6362700" cy="3534833"/>
            <wp:effectExtent b="0" l="0" r="0" t="0"/>
            <wp:docPr descr="" title="" id="23" name="Picture"/>
            <a:graphic>
              <a:graphicData uri="http://schemas.openxmlformats.org/drawingml/2006/picture">
                <pic:pic>
                  <pic:nvPicPr>
                    <pic:cNvPr descr="template_informe_parcial_files/figure-docx/unnamed-chunk-1-1.png" id="24" name="Picture"/>
                    <pic:cNvPicPr>
                      <a:picLocks noChangeArrowheads="1" noChangeAspect="1"/>
                    </pic:cNvPicPr>
                  </pic:nvPicPr>
                  <pic:blipFill>
                    <a:blip r:embed="rId22"/>
                    <a:stretch>
                      <a:fillRect/>
                    </a:stretch>
                  </pic:blipFill>
                  <pic:spPr bwMode="auto">
                    <a:xfrm>
                      <a:off x="0" y="0"/>
                      <a:ext cx="6362700" cy="3534833"/>
                    </a:xfrm>
                    <a:prstGeom prst="rect">
                      <a:avLst/>
                    </a:prstGeom>
                    <a:noFill/>
                    <a:ln w="9525">
                      <a:noFill/>
                      <a:headEnd/>
                      <a:tailEnd/>
                    </a:ln>
                  </pic:spPr>
                </pic:pic>
              </a:graphicData>
            </a:graphic>
          </wp:inline>
        </w:drawing>
      </w:r>
    </w:p>
    <w:bookmarkEnd w:id="25"/>
    <w:bookmarkStart w:id="26" w:name="listado-preeliminar"/>
    <w:p>
      <w:pPr>
        <w:pStyle w:val="Ttulo1"/>
      </w:pPr>
      <w:r>
        <w:t xml:space="preserve">Listado preeliminar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ID_SP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GENERO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ESPECIE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AUTOR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NOMBRE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COMUN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ENDEMICIDAD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NOM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8"/>
                <w:szCs w:val="18"/>
                <w:color w:val="000000"/>
              </w:rPr>
              <w:t xml:space="preserve">IUCN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sideroxyla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laeta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rugosa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jonesii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mexicana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crassipes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obtusata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crassifolia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durifolia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von Seemen ex Loes. 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laurina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Humb. et 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resinosa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castanea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potosina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glaucoides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 Martens et Galeotti 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confertifolia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magnoliifolia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deserticola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fusiformis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Small 1903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grisea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Liebm. 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eduardi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microphylla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martinezii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C.H.Müll. 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xylina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Scheidw.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repanda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Bonpl. 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subspathulata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peduncularis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viminea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polymorpha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Schltdl. 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affinis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Scheidw. 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glabrescens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Benth. 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chihuahuensis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greggii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Trel. 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hintoniorum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Nixon 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VU</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aristata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Hook. 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MX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acutifolia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Née 1801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VU</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hypoleucoides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A.Camus. 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Quercus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emoryi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Torr. 1848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Encino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LC</w:t>
            </w:r>
          </w:p>
        </w:tc>
      </w:tr>
    </w:tbl>
    <w:bookmarkEnd w:id="26"/>
    <w:bookmarkStart w:id="32" w:name="bibliografía"/>
    <w:p>
      <w:pPr>
        <w:pStyle w:val="Ttulo1"/>
      </w:pPr>
      <w:r>
        <w:t xml:space="preserve">Bibliografía</w:t>
      </w:r>
    </w:p>
    <w:bookmarkStart w:id="31" w:name="refs"/>
    <w:bookmarkStart w:id="28" w:name="ref-gbif_registros"/>
    <w:p>
      <w:pPr>
        <w:pStyle w:val="Bibliography"/>
      </w:pPr>
      <w:r>
        <w:t xml:space="preserve">GBIFa. 2023.</w:t>
      </w:r>
      <w:r>
        <w:t xml:space="preserve"> </w:t>
      </w:r>
      <w:r>
        <w:t xml:space="preserve">“Occurrence Download.”</w:t>
      </w:r>
      <w:r>
        <w:t xml:space="preserve"> </w:t>
      </w:r>
      <w:r>
        <w:t xml:space="preserve">The Global Biodiversity Information Facility.</w:t>
      </w:r>
      <w:r>
        <w:t xml:space="preserve"> </w:t>
      </w:r>
      <w:hyperlink r:id="rId27">
        <w:r>
          <w:rPr>
            <w:rStyle w:val="Hyperlink"/>
          </w:rPr>
          <w:t xml:space="preserve">https://doi.org/10.15468/DL.FKCGDN</w:t>
        </w:r>
      </w:hyperlink>
      <w:r>
        <w:t xml:space="preserve">.</w:t>
      </w:r>
    </w:p>
    <w:bookmarkEnd w:id="28"/>
    <w:bookmarkStart w:id="30" w:name="ref-gbif_catalogo"/>
    <w:p>
      <w:pPr>
        <w:pStyle w:val="Bibliography"/>
      </w:pPr>
      <w:r>
        <w:t xml:space="preserve">GBIFb. 2023.</w:t>
      </w:r>
      <w:r>
        <w:t xml:space="preserve"> </w:t>
      </w:r>
      <w:r>
        <w:t xml:space="preserve">“Occurrence Download.”</w:t>
      </w:r>
      <w:r>
        <w:t xml:space="preserve"> </w:t>
      </w:r>
      <w:r>
        <w:t xml:space="preserve">The Global Biodiversity Information Facility.</w:t>
      </w:r>
      <w:r>
        <w:t xml:space="preserve"> </w:t>
      </w:r>
      <w:hyperlink r:id="rId29">
        <w:r>
          <w:rPr>
            <w:rStyle w:val="Hyperlink"/>
          </w:rPr>
          <w:t xml:space="preserve">https://doi.org/10.15468/DL.W2DJDF</w:t>
        </w:r>
      </w:hyperlink>
      <w:r>
        <w:t xml:space="preserve">.</w:t>
      </w:r>
    </w:p>
    <w:bookmarkEnd w:id="30"/>
    <w:bookmarkEnd w:id="31"/>
    <w:bookmarkEnd w:id="32"/>
    <w:sectPr>
      <w:headerReference r:id="rId9" w:type="default"/>
      <w:footerReference r:id="rId10" w:type="default"/>
      <w:type w:val="nextPage"/>
      <w:pgSz w:h="16838" w:w="11906"/>
      <w:pgMar w:bottom="720" w:footer="289" w:gutter="0" w:header="0" w:left="936" w:right="936" w:top="720"/>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76" w:before="0" w:after="0"/>
      <w:ind w:left="0" w:right="0" w:hanging="0"/>
      <w:jc w:val="center"/>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fldChar w:fldCharType="begin"/>
    </w:r>
    <w:r>
      <w:rPr/>
      <w:instrText xml:space="preserve"> PAGE </w:instrText>
    </w:r>
    <w:r>
      <w:rPr/>
      <w:fldChar w:fldCharType="separate"/>
    </w:r>
    <w:r>
      <w:rPr/>
      <w:t>2</w:t>
    </w:r>
    <w:r>
      <w:rPr/>
      <w:fldChar w:fldCharType="end"/>
    </w:r>
  </w:p>
  <w:p>
    <w:pPr>
      <w:pStyle w:val="LOnormal"/>
      <w:keepNext w:val="false"/>
      <w:keepLines w:val="false"/>
      <w:pageBreakBefore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035" w:type="dxa"/>
      <w:jc w:val="left"/>
      <w:tblInd w:w="0" w:type="dxa"/>
      <w:tblLayout w:type="fixed"/>
      <w:tblCellMar>
        <w:top w:w="0" w:type="dxa"/>
        <w:left w:w="108" w:type="dxa"/>
        <w:bottom w:w="0" w:type="dxa"/>
        <w:right w:w="108" w:type="dxa"/>
      </w:tblCellMar>
      <w:tblLook w:val="0000"/>
    </w:tblPr>
    <w:tblGrid>
      <w:gridCol w:w="10035"/>
    </w:tblGrid>
    <w:tr>
      <w:trPr>
        <w:trHeight w:val="1134" w:hRule="atLeast"/>
      </w:trPr>
      <w:tc>
        <w:tcPr>
          <w:tcW w:w="10035" w:type="dxa"/>
          <w:tcBorders>
            <w:bottom w:val="single" w:sz="36" w:space="0" w:color="34ABA2"/>
          </w:tcBorders>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drawing>
              <wp:anchor behindDoc="1" distT="0" distB="0" distL="0" distR="0" simplePos="0" locked="0" layoutInCell="1" allowOverlap="1" relativeHeight="3">
                <wp:simplePos x="0" y="0"/>
                <wp:positionH relativeFrom="column">
                  <wp:posOffset>2575560</wp:posOffset>
                </wp:positionH>
                <wp:positionV relativeFrom="paragraph">
                  <wp:posOffset>57150</wp:posOffset>
                </wp:positionV>
                <wp:extent cx="619125" cy="64833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19125" cy="648335"/>
                        </a:xfrm>
                        <a:prstGeom prst="rect">
                          <a:avLst/>
                        </a:prstGeom>
                      </pic:spPr>
                    </pic:pic>
                  </a:graphicData>
                </a:graphic>
              </wp:anchor>
            </w:drawing>
          </w:r>
        </w:p>
      </w:tc>
    </w:tr>
  </w:tbl>
  <w:p>
    <w:pPr>
      <w:pStyle w:val="LOnormal"/>
      <w:keepNext w:val="false"/>
      <w:keepLines w:val="false"/>
      <w:pageBreakBefore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82A75"/>
        <w:position w:val="0"/>
        <w:sz w:val="28"/>
        <w:sz w:val="28"/>
        <w:szCs w:val="28"/>
        <w:u w:val="none"/>
        <w:shd w:fill="auto" w:val="clear"/>
        <w:vertAlign w:val="baseline"/>
      </w:rPr>
    </w:pPr>
    <w:r>
      <w:rPr>
        <w:rFonts w:eastAsia="Calibri" w:cs="Calibri"/>
        <w:b/>
        <w:i w:val="false"/>
        <w:caps w:val="false"/>
        <w:smallCaps w:val="false"/>
        <w:strike w:val="false"/>
        <w:dstrike w:val="false"/>
        <w:color w:val="082A75"/>
        <w:position w:val="0"/>
        <w:sz w:val="28"/>
        <w:sz w:val="28"/>
        <w:szCs w:val="28"/>
        <w:u w:val="none"/>
        <w:shd w:fill="auto" w:val="clear"/>
        <w:vertAlign w:val="baseline"/>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643"/>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MX"/>
      </w:rPr>
    </w:rPrDefault>
    <w:pPrDefault>
      <w:pPr>
        <w:suppressAutoHyphens w:val="true"/>
      </w:pPr>
    </w:pPrDefault>
  </w:docDefaults>
  <w:style w:styleId="Normal" w:type="paragraph">
    <w:name w:val="Normal"/>
    <w:qFormat/>
    <w:pPr>
      <w:widowControl/>
      <w:suppressAutoHyphens w:val="true"/>
      <w:bidi w:val="0"/>
      <w:spacing w:after="0" w:before="0" w:line="276" w:lineRule="auto"/>
      <w:jc w:val="both"/>
    </w:pPr>
    <w:rPr>
      <w:rFonts w:ascii="Calibri" w:cs="Calibri" w:eastAsia="Calibri" w:hAnsi="Calibri"/>
      <w:color w:val="auto"/>
      <w:kern w:val="0"/>
      <w:sz w:val="22"/>
      <w:szCs w:val="22"/>
      <w:lang w:bidi="hi-IN" w:eastAsia="zh-CN" w:val="es-MX"/>
    </w:rPr>
  </w:style>
  <w:style w:styleId="Ttulo1" w:type="paragraph">
    <w:name w:val="Heading 1"/>
    <w:basedOn w:val="LOnormal"/>
    <w:next w:val="LOnormal"/>
    <w:qFormat/>
    <w:pPr>
      <w:keepNext w:val="true"/>
      <w:spacing w:after="60" w:before="240" w:line="240" w:lineRule="auto"/>
    </w:pPr>
    <w:rPr>
      <w:rFonts w:ascii="Arial" w:cs="Arial" w:eastAsia="Arial" w:hAnsi="Arial"/>
      <w:color w:val="061F57"/>
      <w:sz w:val="32"/>
      <w:szCs w:val="32"/>
    </w:rPr>
  </w:style>
  <w:style w:styleId="Ttulo2" w:type="paragraph">
    <w:name w:val="Heading 2"/>
    <w:basedOn w:val="LOnormal"/>
    <w:next w:val="LOnormal"/>
    <w:qFormat/>
    <w:pPr>
      <w:keepNext w:val="true"/>
      <w:spacing w:after="240" w:before="0" w:line="240" w:lineRule="auto"/>
    </w:pPr>
    <w:rPr>
      <w:b w:val="false"/>
      <w:sz w:val="36"/>
      <w:szCs w:val="36"/>
    </w:rPr>
  </w:style>
  <w:style w:styleId="Ttulo3" w:type="paragraph">
    <w:name w:val="Heading 3"/>
    <w:basedOn w:val="LOnormal"/>
    <w:next w:val="LOnormal"/>
    <w:qFormat/>
    <w:pPr>
      <w:keepNext w:val="true"/>
      <w:keepLines/>
      <w:pageBreakBefore w:val="false"/>
      <w:spacing w:after="80" w:before="280" w:line="240" w:lineRule="auto"/>
    </w:pPr>
    <w:rPr>
      <w:b/>
      <w:sz w:val="28"/>
      <w:szCs w:val="28"/>
    </w:rPr>
  </w:style>
  <w:style w:styleId="Ttulo4" w:type="paragraph">
    <w:name w:val="Heading 4"/>
    <w:basedOn w:val="LOnormal"/>
    <w:next w:val="LOnormal"/>
    <w:qFormat/>
    <w:pPr>
      <w:keepNext w:val="true"/>
      <w:keepLines/>
      <w:pageBreakBefore w:val="false"/>
      <w:spacing w:after="40" w:before="240" w:line="240" w:lineRule="auto"/>
    </w:pPr>
    <w:rPr>
      <w:b/>
      <w:sz w:val="24"/>
      <w:szCs w:val="24"/>
    </w:rPr>
  </w:style>
  <w:style w:styleId="Ttulo5" w:type="paragraph">
    <w:name w:val="Heading 5"/>
    <w:basedOn w:val="LOnormal"/>
    <w:next w:val="LOnormal"/>
    <w:qFormat/>
    <w:pPr>
      <w:keepNext w:val="true"/>
      <w:keepLines/>
      <w:pageBreakBefore w:val="false"/>
      <w:spacing w:after="40" w:before="220" w:line="240" w:lineRule="auto"/>
    </w:pPr>
    <w:rPr>
      <w:b/>
      <w:sz w:val="22"/>
      <w:szCs w:val="22"/>
    </w:rPr>
  </w:style>
  <w:style w:styleId="Ttulo6" w:type="paragraph">
    <w:name w:val="Heading 6"/>
    <w:basedOn w:val="LOnormal"/>
    <w:next w:val="LOnormal"/>
    <w:qFormat/>
    <w:pPr>
      <w:keepNext w:val="true"/>
      <w:keepLines/>
      <w:pageBreakBefore w:val="false"/>
      <w:spacing w:after="40" w:before="200" w:line="240" w:lineRule="auto"/>
    </w:pPr>
    <w:rPr>
      <w:b/>
      <w:sz w:val="20"/>
      <w:szCs w:val="20"/>
    </w:rPr>
  </w:style>
  <w:style w:styleId="Ttulo" w:type="paragraph">
    <w:name w:val="Título"/>
    <w:basedOn w:val="Normal"/>
    <w:next w:val="Cuerpodetexto"/>
    <w:qFormat/>
    <w:pPr>
      <w:keepNext w:val="true"/>
      <w:spacing w:after="120" w:before="240"/>
    </w:pPr>
    <w:rPr>
      <w:rFonts w:ascii="Liberation Sans" w:cs="Lohit Devanagari" w:eastAsia="Noto Sans CJK SC" w:hAnsi="Liberation Sans"/>
      <w:sz w:val="28"/>
      <w:szCs w:val="28"/>
    </w:rPr>
  </w:style>
  <w:style w:styleId="Cuerpodetexto" w:type="paragraph">
    <w:name w:val="Body Text"/>
    <w:basedOn w:val="Normal"/>
    <w:pPr>
      <w:spacing w:after="140" w:before="0" w:line="276" w:lineRule="auto"/>
    </w:pPr>
    <w:rPr/>
  </w:style>
  <w:style w:styleId="Lista" w:type="paragraph">
    <w:name w:val="List"/>
    <w:basedOn w:val="Cuerpodetexto"/>
    <w:pPr/>
    <w:rPr>
      <w:rFonts w:cs="Lohit Devanagari"/>
    </w:rPr>
  </w:style>
  <w:style w:styleId="Leyenda" w:type="paragraph">
    <w:name w:val="Caption"/>
    <w:basedOn w:val="Normal"/>
    <w:qFormat/>
    <w:pPr>
      <w:suppressLineNumbers/>
      <w:spacing w:after="120" w:before="120"/>
    </w:pPr>
    <w:rPr>
      <w:rFonts w:cs="Lohit Devanagari"/>
      <w:i/>
      <w:iCs/>
      <w:sz w:val="24"/>
      <w:szCs w:val="24"/>
    </w:rPr>
  </w:style>
  <w:style w:styleId="Ndice" w:type="paragraph">
    <w:name w:val="Índice"/>
    <w:basedOn w:val="Normal"/>
    <w:qFormat/>
    <w:pPr>
      <w:suppressLineNumbers/>
    </w:pPr>
    <w:rPr>
      <w:rFonts w:cs="Lohit Devanagari"/>
    </w:rPr>
  </w:style>
  <w:style w:default="1" w:styleId="LOnormal" w:type="paragraph">
    <w:name w:val="LO-normal"/>
    <w:qFormat/>
    <w:pPr>
      <w:widowControl/>
      <w:suppressAutoHyphens w:val="true"/>
      <w:bidi w:val="0"/>
      <w:spacing w:after="0" w:before="0" w:line="276" w:lineRule="auto"/>
      <w:jc w:val="both"/>
    </w:pPr>
    <w:rPr>
      <w:rFonts w:ascii="Calibri" w:cs="Calibri" w:eastAsia="Calibri" w:hAnsi="Calibri"/>
      <w:color w:val="auto"/>
      <w:kern w:val="0"/>
      <w:sz w:val="22"/>
      <w:szCs w:val="22"/>
      <w:lang w:bidi="hi-IN" w:eastAsia="zh-CN" w:val="es-MX"/>
    </w:rPr>
  </w:style>
  <w:style w:styleId="Ttulogeneral" w:type="paragraph">
    <w:name w:val="Title"/>
    <w:basedOn w:val="LOnormal"/>
    <w:next w:val="LOnormal"/>
    <w:qFormat/>
    <w:pPr>
      <w:spacing w:after="200" w:before="0" w:line="240" w:lineRule="auto"/>
      <w:jc w:val="center"/>
    </w:pPr>
    <w:rPr>
      <w:rFonts w:ascii="Arial" w:cs="Arial" w:eastAsia="Arial" w:hAnsi="Arial"/>
      <w:b/>
      <w:color w:val="3465A4"/>
      <w:sz w:val="48"/>
      <w:szCs w:val="72"/>
    </w:rPr>
  </w:style>
  <w:style w:styleId="Subttulo" w:type="paragraph">
    <w:name w:val="Subtitle"/>
    <w:basedOn w:val="LOnormal"/>
    <w:next w:val="LOnormal"/>
    <w:qFormat/>
    <w:pPr>
      <w:jc w:val="left"/>
    </w:pPr>
    <w:rPr>
      <w:b w:val="false"/>
      <w:smallCaps/>
      <w:color w:val="3465A4"/>
      <w:sz w:val="36"/>
      <w:szCs w:val="32"/>
    </w:rPr>
  </w:style>
  <w:style w:styleId="Cabeceraypie" w:type="paragraph">
    <w:name w:val="Cabecera y pie"/>
    <w:basedOn w:val="Normal"/>
    <w:qFormat/>
    <w:pPr/>
    <w:rPr/>
  </w:style>
  <w:style w:styleId="Cabecera" w:type="paragraph">
    <w:name w:val="Header"/>
    <w:basedOn w:val="Cabeceraypie"/>
    <w:pPr/>
    <w:rPr/>
  </w:style>
  <w:style w:styleId="Piedepgina" w:type="paragraph">
    <w:name w:val="Footer"/>
    <w:basedOn w:val="Cabeceraypie"/>
    <w:pPr/>
    <w:rPr/>
  </w:style>
  <w:style w:styleId="Ttulodelndice" w:type="paragraph">
    <w:name w:val="Index Heading"/>
    <w:basedOn w:val="Ttulo"/>
    <w:pPr>
      <w:suppressLineNumbers/>
      <w:ind w:hanging="0" w:left="0"/>
    </w:pPr>
    <w:rPr>
      <w:b/>
      <w:bCs/>
      <w:sz w:val="32"/>
      <w:szCs w:val="32"/>
    </w:rPr>
  </w:style>
  <w:style w:styleId="Ttulodelsumario" w:type="paragraph">
    <w:name w:val="TOC Heading"/>
    <w:basedOn w:val="Ttulodelndice"/>
    <w:pPr>
      <w:suppressLineNumbers/>
      <w:ind w:hanging="0" w:left="0"/>
    </w:pPr>
    <w:rPr>
      <w:rFonts w:ascii="Arial" w:hAnsi="Arial"/>
      <w:b/>
      <w:bCs/>
      <w:color w:val="3465A4"/>
      <w:sz w:val="32"/>
      <w:szCs w:val="32"/>
    </w:rPr>
  </w:style>
  <w:style w:styleId="Sumario1" w:type="paragraph">
    <w:name w:val="TOC 1"/>
    <w:basedOn w:val="Ndice"/>
    <w:pPr>
      <w:tabs>
        <w:tab w:pos="643" w:val="clear"/>
        <w:tab w:leader="dot" w:pos="10034" w:val="right"/>
      </w:tabs>
      <w:ind w:hanging="0" w:left="0"/>
    </w:pPr>
    <w:rPr/>
  </w:style>
  <w:style w:styleId="Sumario2" w:type="paragraph">
    <w:name w:val="TOC 2"/>
    <w:basedOn w:val="Ndice"/>
    <w:pPr>
      <w:tabs>
        <w:tab w:pos="643" w:val="clear"/>
        <w:tab w:leader="dot" w:pos="9751" w:val="right"/>
      </w:tabs>
      <w:ind w:hanging="0" w:left="283"/>
    </w:pPr>
    <w:rPr/>
  </w:style>
  <w:style w:styleId="Sumario3" w:type="paragraph">
    <w:name w:val="TOC 3"/>
    <w:basedOn w:val="Ndice"/>
    <w:pPr>
      <w:tabs>
        <w:tab w:pos="643" w:val="clear"/>
        <w:tab w:leader="dot" w:pos="9467" w:val="right"/>
      </w:tabs>
      <w:ind w:hanging="0" w:left="567"/>
    </w:pPr>
    <w:rPr/>
  </w:style>
  <w:style w:default="1" w:styleId="TableNormal" w:type="table">
    <w:name w:val="Table Normal"/>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7" Target="https://doi.org/10.15468/DL.FKCGDN" TargetMode="External" /><Relationship Type="http://schemas.openxmlformats.org/officeDocument/2006/relationships/hyperlink" Id="rId29" Target="https://doi.org/10.15468/DL.W2DJDF"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5468/DL.FKCGDN" TargetMode="External" /><Relationship Type="http://schemas.openxmlformats.org/officeDocument/2006/relationships/hyperlink" Id="rId29" Target="https://doi.org/10.15468/DL.W2DJDF"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39</Words>
  <Characters>357</Characters>
  <CharactersWithSpaces>385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especializado de flora y fauna en zonas de conectividad del estado de Guanajuato</dc:title>
  <dc:creator>Hernando Rodríguez-Correa; Sofía Zorrilla Azcué; Lizeth Melissa Naranjo Bravo</dc:creator>
  <cp:keywords/>
  <dcterms:created xsi:type="dcterms:W3CDTF">2023-11-29T23:21:18Z</dcterms:created>
  <dcterms:modified xsi:type="dcterms:W3CDTF">2023-11-29T23:21:18Z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bibliography1.bib</vt:lpwstr>
  </property>
  <property fmtid="{D5CDD505-2E9C-101B-9397-08002B2CF9AE}" pid="5" name="by-author">
    <vt:lpwstr/>
  </property>
  <property fmtid="{D5CDD505-2E9C-101B-9397-08002B2CF9AE}" pid="6" name="date">
    <vt:lpwstr>2023-11-29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anguage">
    <vt:lpwstr/>
  </property>
  <property fmtid="{D5CDD505-2E9C-101B-9397-08002B2CF9AE}" pid="12" name="subtitle">
    <vt:lpwstr>1er informe bimestral</vt:lpwstr>
  </property>
  <property fmtid="{D5CDD505-2E9C-101B-9397-08002B2CF9AE}" pid="13" name="toc-title">
    <vt:lpwstr>Table of contents</vt:lpwstr>
  </property>
</Properties>
</file>