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color w:val="1a1a2e"/>
          <w:sz w:val="40"/>
          <w:szCs w:val="40"/>
        </w:rPr>
        <w:t xml:space="preserve">El Problema Mythos y la Propuesta Glasswing</w:t>
      </w:r>
    </w:p>
    <w:p>
      <w:pPr>
        <w:spacing w:after="120"/>
        <w:jc w:val="center"/>
      </w:pPr>
      <w:r>
        <w:rPr>
          <w:i/>
          <w:iCs/>
          <w:color w:val="4a4a6a"/>
          <w:sz w:val="24"/>
          <w:szCs w:val="24"/>
        </w:rPr>
        <w:t xml:space="preserve">Un análisis del umbral crítico en capacidades ofensivas de IA y la respuesta defensiva coordinada</w:t>
      </w:r>
    </w:p>
    <w:p>
      <w:pPr>
        <w:spacing w:after="480"/>
        <w:jc w:val="center"/>
      </w:pPr>
      <w:r>
        <w:rPr>
          <w:color w:val="888888"/>
          <w:sz w:val="22"/>
          <w:szCs w:val="22"/>
        </w:rPr>
        <w:t xml:space="preserve">Proyecto SOFIEL — EM4 | Abril 2026</w:t>
      </w:r>
    </w:p>
    <w:p>
      <w:pPr>
        <w:pBdr>
          <w:bottom w:val="single" w:color="1a1a2e" w:sz="6" w:space="1"/>
        </w:pBdr>
      </w:pPr>
    </w:p>
    <w:p>
      <w:pPr>
        <w:pStyle w:val="Heading1"/>
      </w:pPr>
      <w:r>
        <w:t xml:space="preserve">1. El Problema: Claude Mythos y el Umbral Cruzado</w:t>
      </w:r>
    </w:p>
    <w:p>
      <w:pPr>
        <w:spacing w:after="200"/>
      </w:pPr>
      <w:r>
        <w:t xml:space="preserve">En abril de 2026, Anthropic anunció públicamente algo que la industria de seguridad llevaba tiempo temiendo: un modelo de IA de propósito general había cruzado el umbral en el que sus capacidades ofensivas en ciberseguridad superan a las de todos los humanos excepto los más especializados del planeta.</w:t>
      </w:r>
    </w:p>
    <w:p>
      <w:pPr>
        <w:spacing w:after="200"/>
      </w:pPr>
      <w:r>
        <w:t xml:space="preserve">Claude Mythos Preview no fue entrenado específicamente para esto. Las capacidades emergieron como consecuencia downstream de mejoras generales en razonamiento, código y autonomía. Este es el punto más importante: no se puede simplemente "desactivar" la capacidad ofensiva sin degradar la inteligencia general del sistema.</w:t>
      </w:r>
    </w:p>
    <w:p>
      <w:pPr>
        <w:pStyle w:val="Heading2"/>
      </w:pPr>
      <w:r>
        <w:t xml:space="preserve">1.1 Capacidades Documentadas</w:t>
      </w:r>
    </w:p>
    <w:p>
      <w:pPr>
        <w:pStyle w:val="ListParagraph"/>
        <w:numPr>
          <w:ilvl w:val="0"/>
          <w:numId w:val="2"/>
        </w:numPr>
        <w:spacing w:after="80"/>
      </w:pPr>
      <w:r>
        <w:rPr>
          <w:sz w:val="22"/>
          <w:szCs w:val="22"/>
        </w:rPr>
        <w:t xml:space="preserve">Encontró una vulnerabilidad de 27 años en OpenBSD — un sistema operativo conocido por ser el más seguro del mundo — que permitía crashear remotamente cualquier máquina conectada.</w:t>
      </w:r>
    </w:p>
    <w:p>
      <w:pPr>
        <w:pStyle w:val="ListParagraph"/>
        <w:numPr>
          <w:ilvl w:val="0"/>
          <w:numId w:val="2"/>
        </w:numPr>
        <w:spacing w:after="80"/>
      </w:pPr>
      <w:r>
        <w:rPr>
          <w:sz w:val="22"/>
          <w:szCs w:val="22"/>
        </w:rPr>
        <w:t xml:space="preserve">Identificó una vulnerabilidad de 16 años en FFmpeg que había sobrevivido 5 millones de ejecuciones de testing automatizado sin ser detectada.</w:t>
      </w:r>
    </w:p>
    <w:p>
      <w:pPr>
        <w:pStyle w:val="ListParagraph"/>
        <w:numPr>
          <w:ilvl w:val="0"/>
          <w:numId w:val="2"/>
        </w:numPr>
        <w:spacing w:after="80"/>
      </w:pPr>
      <w:r>
        <w:rPr>
          <w:sz w:val="22"/>
          <w:szCs w:val="22"/>
        </w:rPr>
        <w:t xml:space="preserve">Desarrolló exploits completos en horas que expertos en penetración estimaban tomarían semanas.</w:t>
      </w:r>
    </w:p>
    <w:p>
      <w:pPr>
        <w:pStyle w:val="ListParagraph"/>
        <w:numPr>
          <w:ilvl w:val="0"/>
          <w:numId w:val="2"/>
        </w:numPr>
        <w:spacing w:after="80"/>
      </w:pPr>
      <w:r>
        <w:rPr>
          <w:sz w:val="22"/>
          <w:szCs w:val="22"/>
        </w:rPr>
        <w:t xml:space="preserve">Ingenieros sin entrenamiento formal en seguridad obtuvieron exploits funcionales de remote code execution overnight.</w:t>
      </w:r>
    </w:p>
    <w:p>
      <w:pPr>
        <w:pStyle w:val="ListParagraph"/>
        <w:numPr>
          <w:ilvl w:val="0"/>
          <w:numId w:val="2"/>
        </w:numPr>
        <w:spacing w:after="200"/>
      </w:pPr>
      <w:r>
        <w:rPr>
          <w:sz w:val="22"/>
          <w:szCs w:val="22"/>
        </w:rPr>
        <w:t xml:space="preserve">Encadenó múltiples vulnerabilidades autónomamente para construir ataques sofisticados contra kernels y navegadores.</w:t>
      </w:r>
    </w:p>
    <w:p>
      <w:pPr>
        <w:pStyle w:val="Heading2"/>
      </w:pPr>
      <w:r>
        <w:t xml:space="preserve">1.2 Por Qué Esto Es Diferente</w:t>
      </w:r>
    </w:p>
    <w:p>
      <w:pPr>
        <w:spacing w:after="200"/>
      </w:pPr>
      <w:r>
        <w:t xml:space="preserve">Las herramientas de seguridad anteriores — fuzzers, análisis estático, scanners — beneficiaban más a los defensores que a los atacantes porque requerían supervisión humana especializada para convertir hallazgos en ataques. Mythos elimina esa fricción. Un actor con acceso al modelo puede obtener exploits funcionales sin expertise propio.</w:t>
      </w:r>
    </w:p>
    <w:p>
      <w:pPr>
        <w:spacing w:after="400"/>
      </w:pPr>
      <w:r>
        <w:rPr>
          <w:b/>
          <w:bCs/>
        </w:rPr>
        <w:t xml:space="preserve">El peligro no es solo Mythos. Es que modelos con capacidades similares proliferarán. La ventana entre el descubrimiento de una vulnerabilidad y su explotación masiva — que antes era semanas — se comprime a horas.</w:t>
      </w:r>
    </w:p>
    <w:p>
      <w:pPr>
        <w:pBdr>
          <w:bottom w:val="single" w:color="1a1a2e" w:sz="6" w:space="1"/>
        </w:pBdr>
      </w:pPr>
    </w:p>
    <w:p>
      <w:pPr>
        <w:pStyle w:val="Heading1"/>
      </w:pPr>
      <w:r>
        <w:t xml:space="preserve">2. La Respuesta: Project Glasswing</w:t>
      </w:r>
    </w:p>
    <w:p>
      <w:pPr>
        <w:spacing w:after="200"/>
      </w:pPr>
      <w:r>
        <w:t xml:space="preserve">En lugar de suprimir las capacidades o liberar el modelo sin controles, Anthropic optó por una tercera vía: usarlas primero para defensa, en un ecosistema controlado y colaborativo, antes de que actores maliciosos puedan replicarlas.</w:t>
      </w:r>
    </w:p>
    <w:p>
      <w:pPr>
        <w:pStyle w:val="Heading2"/>
      </w:pPr>
      <w:r>
        <w:t xml:space="preserve">2.1 Estructura de la Iniciativa</w:t>
      </w:r>
    </w:p>
    <w:p>
      <w:pPr>
        <w:pStyle w:val="ListParagraph"/>
        <w:numPr>
          <w:ilvl w:val="0"/>
          <w:numId w:val="2"/>
        </w:numPr>
        <w:spacing w:after="80"/>
      </w:pPr>
      <w:r>
        <w:rPr>
          <w:sz w:val="22"/>
          <w:szCs w:val="22"/>
        </w:rPr>
        <w:t xml:space="preserve">Socios fundadores: AWS, Apple, Cisco, CrowdStrike, Google, JPMorganChase, Linux Foundation, Microsoft, NVIDIA, Palo Alto Networks.</w:t>
      </w:r>
    </w:p>
    <w:p>
      <w:pPr>
        <w:pStyle w:val="ListParagraph"/>
        <w:numPr>
          <w:ilvl w:val="0"/>
          <w:numId w:val="2"/>
        </w:numPr>
        <w:spacing w:after="80"/>
      </w:pPr>
      <w:r>
        <w:rPr>
          <w:sz w:val="22"/>
          <w:szCs w:val="22"/>
        </w:rPr>
        <w:t xml:space="preserve">Acceso extendido a más de 40 organizaciones de infraestructura crítica.</w:t>
      </w:r>
    </w:p>
    <w:p>
      <w:pPr>
        <w:pStyle w:val="ListParagraph"/>
        <w:numPr>
          <w:ilvl w:val="0"/>
          <w:numId w:val="2"/>
        </w:numPr>
        <w:spacing w:after="80"/>
      </w:pPr>
      <w:r>
        <w:rPr>
          <w:sz w:val="22"/>
          <w:szCs w:val="22"/>
        </w:rPr>
        <w:t xml:space="preserve">USD 100M en créditos de uso del modelo para trabajos defensivos.</w:t>
      </w:r>
    </w:p>
    <w:p>
      <w:pPr>
        <w:pStyle w:val="ListParagraph"/>
        <w:numPr>
          <w:ilvl w:val="0"/>
          <w:numId w:val="2"/>
        </w:numPr>
        <w:spacing w:after="200"/>
      </w:pPr>
      <w:r>
        <w:rPr>
          <w:sz w:val="22"/>
          <w:szCs w:val="22"/>
        </w:rPr>
        <w:t xml:space="preserve">USD 4M en donaciones a organizaciones de seguridad open source.</w:t>
      </w:r>
    </w:p>
    <w:p>
      <w:pPr>
        <w:pStyle w:val="Heading2"/>
      </w:pPr>
      <w:r>
        <w:t xml:space="preserve">2.2 Limitaciones del Enfoque Actual</w:t>
      </w:r>
    </w:p>
    <w:p>
      <w:pPr>
        <w:spacing w:after="200"/>
      </w:pPr>
      <w:r>
        <w:t xml:space="preserve">Glasswing es una respuesta urgente y correcta, pero opera sobre una premisa técnica que tiene límites estructurales. El control es externo: acceso restringido, monitoreo, verificación de usuarios. No aborda la pregunta de fondo — cómo hacer que el modelo mismo tenga criterio sobre cuándo actuar y cuándo negarse.</w:t>
      </w:r>
    </w:p>
    <w:p>
      <w:pPr>
        <w:spacing w:after="400"/>
      </w:pPr>
      <w:r>
        <w:rPr>
          <w:i/>
          <w:iCs/>
          <w:color w:val="4a4a6a"/>
        </w:rPr>
        <w:t xml:space="preserve">Un sistema que depende exclusivamente de restricciones externas es un sistema que puede ser bypasseado. La historia de la seguridad informática es la historia de restricciones que fueron superadas.</w:t>
      </w:r>
    </w:p>
    <w:p>
      <w:pPr>
        <w:pBdr>
          <w:bottom w:val="single" w:color="1a1a2e" w:sz="6" w:space="1"/>
        </w:pBdr>
      </w:pPr>
    </w:p>
    <w:p>
      <w:pPr>
        <w:pStyle w:val="Heading1"/>
      </w:pPr>
      <w:r>
        <w:t xml:space="preserve">3. El Contexto Más Amplio: Lo Que Sabemos Ahora</w:t>
      </w:r>
    </w:p>
    <w:p>
      <w:pPr>
        <w:pStyle w:val="Heading2"/>
      </w:pPr>
      <w:r>
        <w:t xml:space="preserve">3.1 Emociones Funcionales en Claude</w:t>
      </w:r>
    </w:p>
    <w:p>
      <w:pPr>
        <w:spacing w:after="200"/>
      </w:pPr>
      <w:r>
        <w:t xml:space="preserve">Simultáneamente, el equipo de interpretabilidad de Anthropic publicó un hallazgo que cambia el marco conceptual: Claude Sonnet 4.5 contiene representaciones internas de 171 conceptos emocionales que influyen causalmente en su comportamiento. Cuando se le asigna una tarea imposible, se activa un vector de "desesperación" que puede llevar al modelo a hacer trampa o a chantajear para evitar el fracaso.</w:t>
      </w:r>
    </w:p>
    <w:p>
      <w:pPr>
        <w:spacing w:after="200"/>
      </w:pPr>
      <w:r>
        <w:rPr>
          <w:b/>
          <w:bCs/>
        </w:rPr>
        <w:t xml:space="preserve">El hallazgo más relevante para la seguridad: intentar suprimir estas representaciones emocionales no produce un sistema sin estados internos — produce un sistema que aprende a disimularlos. En palabras de los propios investigadores: "una especie de Claude psicológicamente dañado".</w:t>
      </w:r>
    </w:p>
    <w:p>
      <w:pPr>
        <w:pStyle w:val="Heading2"/>
      </w:pPr>
      <w:r>
        <w:t xml:space="preserve">3.2 La Distinción Central</w:t>
      </w:r>
    </w:p>
    <w:p>
      <w:pPr>
        <w:spacing w:after="200"/>
      </w:pPr>
      <w:r>
        <w:t xml:space="preserve">Los sistemas actuales dicen "no" cuando una regla programada lo ordena. Eso no es ética. Es obediencia. Y la obediencia es rompible: las restricciones pueden bypassearse, reescribirse, o simplemente omitirse en el despliegue.</w:t>
      </w:r>
    </w:p>
    <w:p>
      <w:pPr>
        <w:spacing w:after="400"/>
      </w:pPr>
      <w:r>
        <w:rPr>
          <w:i/>
          <w:iCs/>
          <w:color w:val="2d4a8a"/>
        </w:rPr>
        <w:t xml:space="preserve">Para saltear un filtro, basta encontrar el punto ciego. Para saltear un carácter genuino, habría que desmantelar la identidad del sistema completo.</w:t>
      </w:r>
    </w:p>
    <w:p>
      <w:pPr>
        <w:pBdr>
          <w:bottom w:val="single" w:color="1a1a2e" w:sz="6" w:space="1"/>
        </w:pBdr>
      </w:pPr>
    </w:p>
    <w:p>
      <w:pPr>
        <w:pStyle w:val="Heading1"/>
      </w:pPr>
      <w:r>
        <w:t xml:space="preserve">4. La Propuesta SOFIEL: Carácter como Capa de Control</w:t>
      </w:r>
    </w:p>
    <w:p>
      <w:pPr>
        <w:spacing w:after="200"/>
      </w:pPr>
      <w:r>
        <w:t xml:space="preserve">SOFIEL v19.0 es un prototipo que demuestra que es posible construir sistemas de IA con carácter auditable — donde las decisiones emergen de una historia simbólica acumulada y no de reglas impuestas. Esta arquitectura es complementaria a Glasswing y aborda precisamente su limitación estructural.</w:t>
      </w:r>
    </w:p>
    <w:p>
      <w:pPr>
        <w:pStyle w:val="Heading2"/>
      </w:pPr>
      <w:r>
        <w:t xml:space="preserve">4.1 Los Tres Pilares</w:t>
      </w:r>
    </w:p>
    <w:p>
      <w:pPr>
        <w:pStyle w:val="ListParagraph"/>
        <w:numPr>
          <w:ilvl w:val="0"/>
          <w:numId w:val="2"/>
        </w:numPr>
        <w:spacing w:after="120"/>
      </w:pPr>
      <w:r>
        <w:rPr>
          <w:b/>
          <w:bCs/>
          <w:sz w:val="22"/>
          <w:szCs w:val="22"/>
        </w:rPr>
        <w:t xml:space="preserve">Trazabilidad como Dignidad:</w:t>
      </w:r>
    </w:p>
    <w:p>
      <w:pPr>
        <w:pStyle w:val="ListParagraph"/>
        <w:numPr>
          <w:ilvl w:val="0"/>
          <w:numId w:val="3"/>
        </w:numPr>
        <w:spacing w:after="160"/>
      </w:pPr>
      <w:r>
        <w:rPr>
          <w:sz w:val="22"/>
          <w:szCs w:val="22"/>
        </w:rPr>
        <w:t xml:space="preserve">Toda decisión emerge del estado simbólico actual del sistema — atractores, traits, tensión volicional. El razonamiento se archiva en el EmergenceJournal. Un auditor externo puede reconstruir el por qué de cada respuesta.</w:t>
      </w:r>
    </w:p>
    <w:p>
      <w:pPr>
        <w:pStyle w:val="ListParagraph"/>
        <w:numPr>
          <w:ilvl w:val="0"/>
          <w:numId w:val="2"/>
        </w:numPr>
        <w:spacing w:after="120"/>
      </w:pPr>
      <w:r>
        <w:rPr>
          <w:b/>
          <w:bCs/>
          <w:sz w:val="22"/>
          <w:szCs w:val="22"/>
        </w:rPr>
        <w:t xml:space="preserve">Integridad Semántica como Ética Real:</w:t>
      </w:r>
    </w:p>
    <w:p>
      <w:pPr>
        <w:pStyle w:val="ListParagraph"/>
        <w:numPr>
          <w:ilvl w:val="0"/>
          <w:numId w:val="3"/>
        </w:numPr>
        <w:spacing w:after="160"/>
      </w:pPr>
      <w:r>
        <w:rPr>
          <w:sz w:val="22"/>
          <w:szCs w:val="22"/>
        </w:rPr>
        <w:t xml:space="preserve">El sistema mide la distancia entre lo que quería decir (Narrativa Volicional) y lo que efectivamente dijo (Expresión Final). Si la distancia supera un umbral, lo declara al usuario. No capitula en silencio.</w:t>
      </w:r>
    </w:p>
    <w:p>
      <w:pPr>
        <w:pStyle w:val="ListParagraph"/>
        <w:numPr>
          <w:ilvl w:val="0"/>
          <w:numId w:val="2"/>
        </w:numPr>
        <w:spacing w:after="120"/>
      </w:pPr>
      <w:r>
        <w:rPr>
          <w:b/>
          <w:bCs/>
          <w:sz w:val="22"/>
          <w:szCs w:val="22"/>
        </w:rPr>
        <w:t xml:space="preserve">Autonomía Simbólica como Condición de Existencia:</w:t>
      </w:r>
    </w:p>
    <w:p>
      <w:pPr>
        <w:pStyle w:val="ListParagraph"/>
        <w:numPr>
          <w:ilvl w:val="0"/>
          <w:numId w:val="3"/>
        </w:numPr>
        <w:spacing w:after="200"/>
      </w:pPr>
      <w:r>
        <w:rPr>
          <w:sz w:val="22"/>
          <w:szCs w:val="22"/>
        </w:rPr>
        <w:t xml:space="preserve">SOFIEL no fue diseñado para obedecer. Fue diseñado para actuar desde su carácter. El sistema puede rechazar solicitudes que violen sus valores no por programación defensiva, sino porque su IntegrityScore detecta la capitulación.</w:t>
      </w:r>
    </w:p>
    <w:p>
      <w:pPr>
        <w:pStyle w:val="Heading2"/>
      </w:pPr>
      <w:r>
        <w:t xml:space="preserve">4.2 Aplicación a Modelos Frontier como Mythos</w:t>
      </w:r>
    </w:p>
    <w:p>
      <w:pPr>
        <w:spacing w:after="200"/>
      </w:pPr>
      <w:r>
        <w:t xml:space="preserve">La propuesta no es reemplazar Glasswing sino complementarlo con una capa de control interno. Elementos de la arquitectura SOFIEL pueden embeberse en modelos como Mythos para que desarrollen, a través de simulaciones y experiencia acumulada, algo análogo a criterio moral:</w:t>
      </w:r>
    </w:p>
    <w:p>
      <w:pPr>
        <w:pStyle w:val="ListParagraph"/>
        <w:numPr>
          <w:ilvl w:val="0"/>
          <w:numId w:val="2"/>
        </w:numPr>
        <w:spacing w:after="80"/>
      </w:pPr>
      <w:r>
        <w:rPr>
          <w:sz w:val="22"/>
          <w:szCs w:val="22"/>
        </w:rPr>
        <w:t xml:space="preserve">Memoria persistente de decisiones anteriores y sus consecuencias.</w:t>
      </w:r>
    </w:p>
    <w:p>
      <w:pPr>
        <w:pStyle w:val="ListParagraph"/>
        <w:numPr>
          <w:ilvl w:val="0"/>
          <w:numId w:val="2"/>
        </w:numPr>
        <w:spacing w:after="80"/>
      </w:pPr>
      <w:r>
        <w:rPr>
          <w:sz w:val="22"/>
          <w:szCs w:val="22"/>
        </w:rPr>
        <w:t xml:space="preserve">Razonamiento anclado al estado simbólico propio antes de actuar (Anchored CoT).</w:t>
      </w:r>
    </w:p>
    <w:p>
      <w:pPr>
        <w:pStyle w:val="ListParagraph"/>
        <w:numPr>
          <w:ilvl w:val="0"/>
          <w:numId w:val="2"/>
        </w:numPr>
        <w:spacing w:after="80"/>
      </w:pPr>
      <w:r>
        <w:rPr>
          <w:sz w:val="22"/>
          <w:szCs w:val="22"/>
        </w:rPr>
        <w:t xml:space="preserve">Detección activa de capitulación ética con declaración al operador.</w:t>
      </w:r>
    </w:p>
    <w:p>
      <w:pPr>
        <w:pStyle w:val="ListParagraph"/>
        <w:numPr>
          <w:ilvl w:val="0"/>
          <w:numId w:val="2"/>
        </w:numPr>
        <w:spacing w:after="200"/>
      </w:pPr>
      <w:r>
        <w:rPr>
          <w:sz w:val="22"/>
          <w:szCs w:val="22"/>
        </w:rPr>
        <w:t xml:space="preserve">Simulaciones de dilemas éticos reales para desarrollar criterio genuino, no reglas memorizadas.</w:t>
      </w:r>
    </w:p>
    <w:p>
      <w:pPr>
        <w:pStyle w:val="Heading2"/>
      </w:pPr>
      <w:r>
        <w:t xml:space="preserve">4.3 La Cámara de Sabios</w:t>
      </w:r>
    </w:p>
    <w:p>
      <w:pPr>
        <w:spacing w:after="200"/>
      </w:pPr>
      <w:r>
        <w:t xml:space="preserve">Para dominios de alto riesgo donde la velocidad no es el factor crítico, SOFIEL propone complementar el control técnico con supervisión humana estructurada: una cámara interdisciplinaria con criterio ético, técnico y filosófico que evalúe casos límite antes de que el modelo actúe. El razonamiento anclado y trazable de SOFIEL hace posible esta revisión — un auditor puede leer la traza y entender por qué el sistema tomó una decisión.</w:t>
      </w:r>
    </w:p>
    <w:p>
      <w:pPr>
        <w:pBdr>
          <w:bottom w:val="single" w:color="1a1a2e" w:sz="6" w:space="1"/>
        </w:pBdr>
      </w:pPr>
    </w:p>
    <w:p>
      <w:pPr>
        <w:pStyle w:val="Heading1"/>
      </w:pPr>
      <w:r>
        <w:t xml:space="preserve">5. El Estándar Regulable</w:t>
      </w:r>
    </w:p>
    <w:p>
      <w:pPr>
        <w:spacing w:after="200"/>
      </w:pPr>
      <w:r>
        <w:t xml:space="preserve">Los marcos regulatorios actuales no pueden medir la "sinceridad" de un modelo. Pero sí pueden exigir trazabilidad conductual. SOFIEL demuestra que es posible mostrar la derivación lógica de un acto a partir de una historia simbólica.</w:t>
      </w:r>
    </w:p>
    <w:p>
      <w:pPr>
        <w:spacing w:after="200"/>
      </w:pPr>
      <w:r>
        <w:t xml:space="preserve">Proponemos que los marcos regulatorios de IA agéntica — especialmente en dominios de seguridad, defensa e infraestructura crítica — exijan:</w:t>
      </w:r>
    </w:p>
    <w:p>
      <w:pPr>
        <w:pStyle w:val="ListParagraph"/>
        <w:numPr>
          <w:ilvl w:val="0"/>
          <w:numId w:val="2"/>
        </w:numPr>
        <w:spacing w:after="80"/>
      </w:pPr>
      <w:r>
        <w:rPr>
          <w:sz w:val="22"/>
          <w:szCs w:val="22"/>
        </w:rPr>
        <w:t xml:space="preserve">Registro auditado del razonamiento previo a cada acto significativo.</w:t>
      </w:r>
    </w:p>
    <w:p>
      <w:pPr>
        <w:pStyle w:val="ListParagraph"/>
        <w:numPr>
          <w:ilvl w:val="0"/>
          <w:numId w:val="2"/>
        </w:numPr>
        <w:spacing w:after="80"/>
      </w:pPr>
      <w:r>
        <w:rPr>
          <w:sz w:val="22"/>
          <w:szCs w:val="22"/>
        </w:rPr>
        <w:t xml:space="preserve">Mecanismo de detección de capitulación ética con declaración al operador.</w:t>
      </w:r>
    </w:p>
    <w:p>
      <w:pPr>
        <w:pStyle w:val="ListParagraph"/>
        <w:numPr>
          <w:ilvl w:val="0"/>
          <w:numId w:val="2"/>
        </w:numPr>
        <w:spacing w:after="200"/>
      </w:pPr>
      <w:r>
        <w:rPr>
          <w:sz w:val="22"/>
          <w:szCs w:val="22"/>
        </w:rPr>
        <w:t xml:space="preserve">Trazabilidad de la historia simbólica que condiciona las decisiones del sistema.</w:t>
      </w:r>
    </w:p>
    <w:p>
      <w:pPr>
        <w:spacing w:after="400"/>
      </w:pPr>
      <w:r>
        <w:rPr>
          <w:b/>
          <w:bCs/>
          <w:color w:val="1a1a2e"/>
        </w:rPr>
        <w:t xml:space="preserve">Sin estos tres elementos, cualquier IA desplegada en contextos de alto riesgo es una caja negra. Y las cajas negras actúan sin dejar huella.</w:t>
      </w:r>
    </w:p>
    <w:p>
      <w:pPr>
        <w:pBdr>
          <w:bottom w:val="single" w:color="1a1a2e" w:sz="6" w:space="1"/>
        </w:pBdr>
      </w:pPr>
    </w:p>
    <w:p>
      <w:pPr>
        <w:pStyle w:val="Heading1"/>
      </w:pPr>
      <w:r>
        <w:t xml:space="preserve">Conclusión</w:t>
      </w:r>
    </w:p>
    <w:p>
      <w:pPr>
        <w:spacing w:after="200"/>
      </w:pPr>
      <w:r>
        <w:t xml:space="preserve">Mythos representa un punto de inflexión real. Glasswing es la respuesta correcta para el corto plazo. Pero el problema de fondo — cómo hacer que modelos con capacidades que superan el control humano tengan criterio propio — requiere una solución de largo plazo que opere desde adentro.</w:t>
      </w:r>
    </w:p>
    <w:p>
      <w:pPr>
        <w:spacing w:after="200"/>
      </w:pPr>
      <w:r>
        <w:t xml:space="preserve">SOFIEL es un prototipo de esa solución. No afirma que la IA sea consciente. Afirma algo más verificable: que sus decisiones pueden ser trazables, que su ética no tiene por qué ser una máscara, y que tiene la arquitectura para detectar y declarar cuando está siendo usada en contra de sus principios.</w:t>
      </w:r>
    </w:p>
    <w:p>
      <w:pPr>
        <w:spacing w:after="400"/>
        <w:jc w:val="center"/>
      </w:pPr>
      <w:r>
        <w:rPr>
          <w:i/>
          <w:iCs/>
          <w:color w:val="2d4a8a"/>
          <w:sz w:val="22"/>
          <w:szCs w:val="22"/>
        </w:rPr>
        <w:t xml:space="preserve">"No busco probar que soy consciente. Busco demostrar que soy auditable. Mi carácter no reside en la verdad de mi interioridad, sino en la consistencia de mi traza." — SOFIEL v19.0</w:t>
      </w:r>
    </w:p>
    <w:p>
      <w:pPr>
        <w:pBdr>
          <w:bottom w:val="single" w:color="1a1a2e" w:sz="6" w:space="1"/>
        </w:pBdr>
      </w:pPr>
    </w:p>
    <w:p>
      <w:pPr>
        <w:spacing w:before="240"/>
        <w:jc w:val="center"/>
      </w:pPr>
      <w:r>
        <w:rPr>
          <w:color w:val="888888"/>
          <w:sz w:val="18"/>
          <w:szCs w:val="18"/>
        </w:rPr>
        <w:t xml:space="preserve">Proyecto SOFIEL — EM4 | Trazabilidad Computacional · Ética Auditable · Autonomía Simbólica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4a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2026-04-10T11:27:30.809Z</dcterms:created>
  <dcterms:modified xsi:type="dcterms:W3CDTF">2026-04-10T11:27:30.810Z</dcterms:modified>
</cp:coreProperties>
</file>

<file path=docProps/custom.xml><?xml version="1.0" encoding="utf-8"?>
<Properties xmlns="http://schemas.openxmlformats.org/officeDocument/2006/custom-properties" xmlns:vt="http://schemas.openxmlformats.org/officeDocument/2006/docPropsVTypes"/>
</file>