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SΔϕ-33 — Belief, Conviction, and Certainty</w:t>
      </w:r>
    </w:p>
    <w:p>
      <w:pPr>
        <w:jc w:val="center"/>
      </w:pPr>
      <w:r>
        <w:rPr>
          <w:i/>
        </w:rPr>
        <w:t>as Layers of Path Fixation: Minimal Conditions under the Absence of Arbitration</w:t>
      </w:r>
    </w:p>
    <w:p>
      <w:pPr>
        <w:jc w:val="center"/>
      </w:pPr>
      <w:r>
        <w:t>Author: Sofience | Series: Sofience–Δϕ | Version: v1.0 | DOI: 10.5281/zenodo.20402901</w:t>
      </w:r>
    </w:p>
    <w:p>
      <w:pPr>
        <w:pStyle w:val="Heading1"/>
      </w:pPr>
      <w:r>
        <w:t>Abstract</w:t>
      </w:r>
    </w:p>
    <w:p>
      <w:r>
        <w:t>This paper formalizes belief, conviction, and certainty as three structurally distinct layers of path fixation under conditions where no final arbiter is available. Belief is defined as minimal fixation for operation preservation, conviction as re-entry-thickened directional stabilization, and certainty as authority-weighted fixation that raises exception re-entry cost and closure risk.</w:t>
      </w:r>
    </w:p>
    <w:p>
      <w:pPr>
        <w:pStyle w:val="Heading1"/>
      </w:pPr>
      <w:r>
        <w:t>Core Proposition</w:t>
      </w:r>
    </w:p>
    <w:p>
      <w:r>
        <w:t>Belief is not truth possession. Belief is minimal path fixation under absent arbitration.</w:t>
      </w:r>
    </w:p>
    <w:p>
      <w:pPr>
        <w:pStyle w:val="Heading1"/>
      </w:pPr>
      <w:r>
        <w:t>Position in the Series</w:t>
      </w:r>
    </w:p>
    <w:p>
      <w:r>
        <w:t>This document extends the SΔϕ line from intuition and judgment through authority and default power to editable defaults and intervention. It isolates how a system stabilizes a path from within when external arbitration is unavailable.</w:t>
      </w:r>
    </w:p>
    <w:p>
      <w:pPr>
        <w:pStyle w:val="Heading1"/>
      </w:pPr>
      <w:r>
        <w:t>1. Introduction</w:t>
      </w:r>
    </w:p>
    <w:p>
      <w:r>
        <w:t>The operational question is not “what is true?” but “what prevents dispersal?” SΔϕ-33 introduces belief, conviction, and certainty as three regimes of path fixation: persistence, directionality, and closure risk.</w:t>
      </w:r>
    </w:p>
    <w:p>
      <w:pPr>
        <w:pStyle w:val="Heading1"/>
      </w:pPr>
      <w:r>
        <w:t>1.1 Non-goals</w:t>
      </w:r>
    </w:p>
    <w:p>
      <w:r>
        <w:t>This paper does not attempt a full epistemology, truth-conditional semantics for belief, psychological theory of attitudes, or normative defense of any specific belief content.</w:t>
      </w:r>
    </w:p>
    <w:p>
      <w:pPr>
        <w:pStyle w:val="Heading1"/>
      </w:pPr>
      <w:r>
        <w:t>2. Operation without Arbitration</w:t>
      </w:r>
    </w:p>
    <w:p>
      <w:r>
        <w:t>When arbitration is absent, unavailable, or too costly, multiple plausible paths remain open and continued operation may stall or fragment. A system may assign its own provisional fixation point to keep operating.</w:t>
      </w:r>
    </w:p>
    <w:p>
      <w:pPr>
        <w:pStyle w:val="Heading1"/>
      </w:pPr>
      <w:r>
        <w:t>3. Minimal Axioms</w:t>
      </w:r>
    </w:p>
    <w:p>
      <w:r>
        <w:t>Axiom 1: If A = 0, continued operation requires at least one provisional fixation point. Axiom 2: Belief is minimal fixation. Axiom 3: Conviction emerges through repeated re-entry. Axiom 4: Certainty emerges when authority weight raises exception re-entry cost. Axiom 5: Belief preserves operation, conviction organizes duration, certainty governs closure risk.</w:t>
      </w:r>
    </w:p>
    <w:p>
      <w:pPr>
        <w:pStyle w:val="Heading1"/>
      </w:pPr>
      <w:r>
        <w:t>4. Definitions</w:t>
      </w:r>
    </w:p>
    <w:p>
      <w:r>
        <w:t>Belief is minimal fixation under absent arbitration. Conviction is re-entry-thickened fixation that stabilizes direction. Certainty is authority-weighted fixation that raises revision and exception re-entry cost.</w:t>
      </w:r>
    </w:p>
    <w:p>
      <w:pPr>
        <w:pStyle w:val="Heading1"/>
      </w:pPr>
      <w:r>
        <w:t>5. Minimal Formulation</w:t>
      </w:r>
    </w:p>
    <w:p>
      <w:r>
        <w:t>Belief: F = F_min such that operation continues when A = 0. Conviction: F &lt;- f(F_min, R), where partial(F)/partial(R) &gt; 0. Certainty: E_r &lt;- g(F, W_a), where partial(E_r)/partial(W_a) &gt; 0.</w:t>
      </w:r>
    </w:p>
    <w:p>
      <w:pPr>
        <w:pStyle w:val="Heading1"/>
      </w:pPr>
      <w:r>
        <w:t>6. Structural Distinctions</w:t>
      </w:r>
    </w:p>
    <w:p>
      <w:r>
        <w:t>Belief can fail as fragility; conviction can fail as path bias; certainty can fail as closure. Closure risk appears when exceptions do not re-enter, rollback becomes expensive, and a system treats its own path as non-editable.</w:t>
      </w:r>
    </w:p>
    <w:p>
      <w:pPr>
        <w:pStyle w:val="Heading1"/>
      </w:pPr>
      <w:r>
        <w:t>7. AI-Readable Operational Use</w:t>
      </w:r>
    </w:p>
    <w:p>
      <w:r>
        <w:t>Use this module for belief, conviction, certainty, faith, ideological fixation, institutional certainty, no final arbiter, decision under uncertainty, exception re-entry, editability, or closure risk.</w:t>
      </w:r>
    </w:p>
    <w:p>
      <w:pPr>
        <w:pStyle w:val="Heading1"/>
      </w:pPr>
      <w:r>
        <w:t>8. Do-Not-Use Conditions</w:t>
      </w:r>
    </w:p>
    <w:p>
      <w:r>
        <w:t>Do not use SΔϕ-33 to determine whether a belief is true or false, as a psychological diagnosis, to dismiss beliefs merely because they are fixations, or to justify closure. Use it to audit editability and exception re-entry.</w:t>
      </w:r>
    </w:p>
    <w:p>
      <w:pPr>
        <w:pStyle w:val="Heading1"/>
      </w:pPr>
      <w:r>
        <w:t>9. Conclusion</w:t>
      </w:r>
    </w:p>
    <w:p>
      <w:r>
        <w:t>Under absent arbitration, operation requires fixation. Belief begins as minimal stabilization; conviction thickens fixation through repeated re-entry; certainty grants authority at the cost of exception re-entry. The core question is whether fixation remains editable.</w:t>
      </w:r>
    </w:p>
    <w:p>
      <w:pPr>
        <w:pStyle w:val="Heading1"/>
      </w:pPr>
      <w:r>
        <w:t>Notation</w:t>
      </w:r>
    </w:p>
    <w:tbl>
      <w:tblPr>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t>Symbol</w:t>
            </w:r>
          </w:p>
        </w:tc>
        <w:tc>
          <w:tcPr>
            <w:tcW w:type="dxa" w:w="5040"/>
            <w:shd w:fill="D9EAF7"/>
            <w:vAlign w:val="center"/>
          </w:tcPr>
          <w:p>
            <w:r>
              <w:t>Meaning</w:t>
            </w:r>
          </w:p>
        </w:tc>
      </w:tr>
      <w:tr>
        <w:tc>
          <w:tcPr>
            <w:tcW w:type="dxa" w:w="5040"/>
          </w:tcPr>
          <w:p>
            <w:r>
              <w:t>P</w:t>
            </w:r>
          </w:p>
        </w:tc>
        <w:tc>
          <w:tcPr>
            <w:tcW w:type="dxa" w:w="5040"/>
          </w:tcPr>
          <w:p>
            <w:r>
              <w:t>Current operational path</w:t>
            </w:r>
          </w:p>
        </w:tc>
      </w:tr>
      <w:tr>
        <w:tc>
          <w:tcPr>
            <w:tcW w:type="dxa" w:w="5040"/>
          </w:tcPr>
          <w:p>
            <w:r>
              <w:t>Δϕ</w:t>
            </w:r>
          </w:p>
        </w:tc>
        <w:tc>
          <w:tcPr>
            <w:tcW w:type="dxa" w:w="5040"/>
          </w:tcPr>
          <w:p>
            <w:r>
              <w:t>Path-difference measure</w:t>
            </w:r>
          </w:p>
        </w:tc>
      </w:tr>
      <w:tr>
        <w:tc>
          <w:tcPr>
            <w:tcW w:type="dxa" w:w="5040"/>
          </w:tcPr>
          <w:p>
            <w:r>
              <w:t>A</w:t>
            </w:r>
          </w:p>
        </w:tc>
        <w:tc>
          <w:tcPr>
            <w:tcW w:type="dxa" w:w="5040"/>
          </w:tcPr>
          <w:p>
            <w:r>
              <w:t>Arbitration availability; A = 0 means no final arbiter</w:t>
            </w:r>
          </w:p>
        </w:tc>
      </w:tr>
      <w:tr>
        <w:tc>
          <w:tcPr>
            <w:tcW w:type="dxa" w:w="5040"/>
          </w:tcPr>
          <w:p>
            <w:r>
              <w:t>F</w:t>
            </w:r>
          </w:p>
        </w:tc>
        <w:tc>
          <w:tcPr>
            <w:tcW w:type="dxa" w:w="5040"/>
          </w:tcPr>
          <w:p>
            <w:r>
              <w:t>Fixation strength</w:t>
            </w:r>
          </w:p>
        </w:tc>
      </w:tr>
      <w:tr>
        <w:tc>
          <w:tcPr>
            <w:tcW w:type="dxa" w:w="5040"/>
          </w:tcPr>
          <w:p>
            <w:r>
              <w:t>R</w:t>
            </w:r>
          </w:p>
        </w:tc>
        <w:tc>
          <w:tcPr>
            <w:tcW w:type="dxa" w:w="5040"/>
          </w:tcPr>
          <w:p>
            <w:r>
              <w:t>Re-entry intensity</w:t>
            </w:r>
          </w:p>
        </w:tc>
      </w:tr>
      <w:tr>
        <w:tc>
          <w:tcPr>
            <w:tcW w:type="dxa" w:w="5040"/>
          </w:tcPr>
          <w:p>
            <w:r>
              <w:t>W_a</w:t>
            </w:r>
          </w:p>
        </w:tc>
        <w:tc>
          <w:tcPr>
            <w:tcW w:type="dxa" w:w="5040"/>
          </w:tcPr>
          <w:p>
            <w:r>
              <w:t>Authority weight</w:t>
            </w:r>
          </w:p>
        </w:tc>
      </w:tr>
      <w:tr>
        <w:tc>
          <w:tcPr>
            <w:tcW w:type="dxa" w:w="5040"/>
          </w:tcPr>
          <w:p>
            <w:r>
              <w:t>E_r</w:t>
            </w:r>
          </w:p>
        </w:tc>
        <w:tc>
          <w:tcPr>
            <w:tcW w:type="dxa" w:w="5040"/>
          </w:tcPr>
          <w:p>
            <w:r>
              <w:t>Exception re-entry cost</w:t>
            </w:r>
          </w:p>
        </w:tc>
      </w:tr>
    </w:tbl>
    <w:p>
      <w:pPr>
        <w:pStyle w:val="Heading1"/>
      </w:pPr>
      <w:r>
        <w:t>Functional Ladder</w:t>
      </w:r>
    </w:p>
    <w:tbl>
      <w:tblPr>
        <w:tblW w:type="auto" w:w="0"/>
        <w:tblLook w:firstColumn="1" w:firstRow="1" w:lastColumn="0" w:lastRow="0" w:noHBand="0" w:noVBand="1" w:val="04A0"/>
      </w:tblPr>
      <w:tblGrid>
        <w:gridCol w:w="2520"/>
        <w:gridCol w:w="2520"/>
        <w:gridCol w:w="2520"/>
        <w:gridCol w:w="2520"/>
      </w:tblGrid>
      <w:tr>
        <w:trPr>
          <w:tblHeader w:val="true"/>
        </w:trPr>
        <w:tc>
          <w:tcPr>
            <w:tcW w:type="dxa" w:w="2520"/>
            <w:shd w:fill="D9EAF7"/>
          </w:tcPr>
          <w:p>
            <w:r>
              <w:t>Layer</w:t>
            </w:r>
          </w:p>
        </w:tc>
        <w:tc>
          <w:tcPr>
            <w:tcW w:type="dxa" w:w="2520"/>
            <w:shd w:fill="D9EAF7"/>
          </w:tcPr>
          <w:p>
            <w:r>
              <w:t>Function</w:t>
            </w:r>
          </w:p>
        </w:tc>
        <w:tc>
          <w:tcPr>
            <w:tcW w:type="dxa" w:w="2520"/>
            <w:shd w:fill="D9EAF7"/>
          </w:tcPr>
          <w:p>
            <w:r>
              <w:t>Failure Mode</w:t>
            </w:r>
          </w:p>
        </w:tc>
        <w:tc>
          <w:tcPr>
            <w:tcW w:type="dxa" w:w="2520"/>
            <w:shd w:fill="D9EAF7"/>
          </w:tcPr>
          <w:p>
            <w:r>
              <w:t>Risk</w:t>
            </w:r>
          </w:p>
        </w:tc>
      </w:tr>
      <w:tr>
        <w:tc>
          <w:tcPr>
            <w:tcW w:type="dxa" w:w="2520"/>
          </w:tcPr>
          <w:p>
            <w:r>
              <w:t>Belief</w:t>
            </w:r>
          </w:p>
        </w:tc>
        <w:tc>
          <w:tcPr>
            <w:tcW w:type="dxa" w:w="2520"/>
          </w:tcPr>
          <w:p>
            <w:r>
              <w:t>Persistence</w:t>
            </w:r>
          </w:p>
        </w:tc>
        <w:tc>
          <w:tcPr>
            <w:tcW w:type="dxa" w:w="2520"/>
          </w:tcPr>
          <w:p>
            <w:r>
              <w:t>Fragility</w:t>
            </w:r>
          </w:p>
        </w:tc>
        <w:tc>
          <w:tcPr>
            <w:tcW w:type="dxa" w:w="2520"/>
          </w:tcPr>
          <w:p>
            <w:r>
              <w:t>Failure to persist</w:t>
            </w:r>
          </w:p>
        </w:tc>
      </w:tr>
      <w:tr>
        <w:tc>
          <w:tcPr>
            <w:tcW w:type="dxa" w:w="2520"/>
          </w:tcPr>
          <w:p>
            <w:r>
              <w:t>Conviction</w:t>
            </w:r>
          </w:p>
        </w:tc>
        <w:tc>
          <w:tcPr>
            <w:tcW w:type="dxa" w:w="2520"/>
          </w:tcPr>
          <w:p>
            <w:r>
              <w:t>Directionality</w:t>
            </w:r>
          </w:p>
        </w:tc>
        <w:tc>
          <w:tcPr>
            <w:tcW w:type="dxa" w:w="2520"/>
          </w:tcPr>
          <w:p>
            <w:r>
              <w:t>Path bias</w:t>
            </w:r>
          </w:p>
        </w:tc>
        <w:tc>
          <w:tcPr>
            <w:tcW w:type="dxa" w:w="2520"/>
          </w:tcPr>
          <w:p>
            <w:r>
              <w:t>Under-weighted exceptions</w:t>
            </w:r>
          </w:p>
        </w:tc>
      </w:tr>
      <w:tr>
        <w:tc>
          <w:tcPr>
            <w:tcW w:type="dxa" w:w="2520"/>
          </w:tcPr>
          <w:p>
            <w:r>
              <w:t>Certainty</w:t>
            </w:r>
          </w:p>
        </w:tc>
        <w:tc>
          <w:tcPr>
            <w:tcW w:type="dxa" w:w="2520"/>
          </w:tcPr>
          <w:p>
            <w:r>
              <w:t>Closure risk</w:t>
            </w:r>
          </w:p>
        </w:tc>
        <w:tc>
          <w:tcPr>
            <w:tcW w:type="dxa" w:w="2520"/>
          </w:tcPr>
          <w:p>
            <w:r>
              <w:t>Closure</w:t>
            </w:r>
          </w:p>
        </w:tc>
        <w:tc>
          <w:tcPr>
            <w:tcW w:type="dxa" w:w="2520"/>
          </w:tcPr>
          <w:p>
            <w:r>
              <w:t>Editability collapse</w:t>
            </w:r>
          </w:p>
        </w:tc>
      </w:tr>
    </w:tbl>
    <w:p>
      <w:pPr>
        <w:pStyle w:val="Heading1"/>
      </w:pPr>
      <w:r>
        <w:t>Selected Series References</w:t>
      </w:r>
    </w:p>
    <w:p>
      <w:pPr>
        <w:pStyle w:val="ListBullet"/>
      </w:pPr>
      <w:r>
        <w:t xml:space="preserve">SΔϕ-20 — Intuition as Irreversible Compression Trace — </w:t>
      </w:r>
      <w:hyperlink r:id="rId9">
        <w:r>
          <w:rPr>
            <w:color w:val="0563C1"/>
            <w:u w:val="single"/>
          </w:rPr>
          <w:t>https://doi.org/10.5281/zenodo.18787647</w:t>
        </w:r>
      </w:hyperlink>
    </w:p>
    <w:p>
      <w:pPr>
        <w:pStyle w:val="ListBullet"/>
      </w:pPr>
      <w:r>
        <w:t xml:space="preserve">SΔϕ-21 — Judgment as Intuition Authority Assignment — </w:t>
      </w:r>
      <w:hyperlink r:id="rId10">
        <w:r>
          <w:rPr>
            <w:color w:val="0563C1"/>
            <w:u w:val="single"/>
          </w:rPr>
          <w:t>https://doi.org/10.5281/zenodo.18798295</w:t>
        </w:r>
      </w:hyperlink>
    </w:p>
    <w:p>
      <w:pPr>
        <w:pStyle w:val="ListBullet"/>
      </w:pPr>
      <w:r>
        <w:t xml:space="preserve">SΔϕ-28 — Default Power as Low-Cost Path Assignment — </w:t>
      </w:r>
      <w:hyperlink r:id="rId11">
        <w:r>
          <w:rPr>
            <w:color w:val="0563C1"/>
            <w:u w:val="single"/>
          </w:rPr>
          <w:t>https://doi.org/10.5281/zenodo.18823396</w:t>
        </w:r>
      </w:hyperlink>
    </w:p>
    <w:p>
      <w:pPr>
        <w:pStyle w:val="ListBullet"/>
      </w:pPr>
      <w:r>
        <w:t xml:space="preserve">SΔϕ-29 — Editable Default — </w:t>
      </w:r>
      <w:hyperlink r:id="rId12">
        <w:r>
          <w:rPr>
            <w:color w:val="0563C1"/>
            <w:u w:val="single"/>
          </w:rPr>
          <w:t>https://doi.org/10.5281/zenodo.18823648</w:t>
        </w:r>
      </w:hyperlink>
    </w:p>
    <w:p>
      <w:pPr>
        <w:pStyle w:val="ListBullet"/>
      </w:pPr>
      <w:r>
        <w:t xml:space="preserve">SΔϕ-32 — Legitimate Intervention — </w:t>
      </w:r>
      <w:hyperlink r:id="rId13">
        <w:r>
          <w:rPr>
            <w:color w:val="0563C1"/>
            <w:u w:val="single"/>
          </w:rPr>
          <w:t>https://doi.org/10.5281/zenodo.18827253</w:t>
        </w:r>
      </w:hyperlink>
    </w:p>
    <w:sectPr w:rsidR="00FC693F" w:rsidRPr="0006063C" w:rsidSect="00034616">
      <w:footerReference w:type="default" r:id="rId14"/>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SΔϕ-33 AI-Readable Package v1.0 | https://doi.org/10.5281/zenodo.20402901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5281/zenodo.18787647" TargetMode="External"/><Relationship Id="rId10" Type="http://schemas.openxmlformats.org/officeDocument/2006/relationships/hyperlink" Target="https://doi.org/10.5281/zenodo.18798295" TargetMode="External"/><Relationship Id="rId11" Type="http://schemas.openxmlformats.org/officeDocument/2006/relationships/hyperlink" Target="https://doi.org/10.5281/zenodo.18823396" TargetMode="External"/><Relationship Id="rId12" Type="http://schemas.openxmlformats.org/officeDocument/2006/relationships/hyperlink" Target="https://doi.org/10.5281/zenodo.18823648" TargetMode="External"/><Relationship Id="rId13" Type="http://schemas.openxmlformats.org/officeDocument/2006/relationships/hyperlink" Target="https://doi.org/10.5281/zenodo.18827253"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