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SΔϕ-69</w:t>
      </w:r>
      <w:r>
        <w:t xml:space="preserve"> </w:t>
      </w:r>
      <w:r>
        <w:t xml:space="preserve">—</w:t>
      </w:r>
      <w:r>
        <w:t xml:space="preserve"> </w:t>
      </w:r>
      <w:r>
        <w:t xml:space="preserve">Reversibility</w:t>
      </w:r>
      <w:r>
        <w:t xml:space="preserve"> </w:t>
      </w:r>
      <w:r>
        <w:t xml:space="preserve">as</w:t>
      </w:r>
      <w:r>
        <w:t xml:space="preserve"> </w:t>
      </w:r>
      <w:r>
        <w:t xml:space="preserve">Overwrite:</w:t>
      </w:r>
      <w:r>
        <w:t xml:space="preserve"> </w:t>
      </w:r>
      <w:r>
        <w:t xml:space="preserve">Apparent</w:t>
      </w:r>
      <w:r>
        <w:t xml:space="preserve"> </w:t>
      </w:r>
      <w:r>
        <w:t xml:space="preserve">Restoration,</w:t>
      </w:r>
      <w:r>
        <w:t xml:space="preserve"> </w:t>
      </w:r>
      <w:r>
        <w:t xml:space="preserve">Transition</w:t>
      </w:r>
      <w:r>
        <w:t xml:space="preserve"> </w:t>
      </w:r>
      <w:r>
        <w:t xml:space="preserve">History,</w:t>
      </w:r>
      <w:r>
        <w:t xml:space="preserve"> </w:t>
      </w:r>
      <w:r>
        <w:t xml:space="preserve">and</w:t>
      </w:r>
      <w:r>
        <w:t xml:space="preserve"> </w:t>
      </w:r>
      <w:r>
        <w:t xml:space="preserve">Residual</w:t>
      </w:r>
      <w:r>
        <w:t xml:space="preserve"> </w:t>
      </w:r>
      <w:r>
        <w:t xml:space="preserve">Irreversibility</w:t>
      </w:r>
    </w:p>
    <w:p>
      <w:pPr>
        <w:pStyle w:val="Subtitle"/>
      </w:pPr>
      <w:r>
        <w:t xml:space="preserve">SΔϕ-69</w:t>
      </w:r>
      <w:r>
        <w:t xml:space="preserve"> </w:t>
      </w:r>
      <w:r>
        <w:t xml:space="preserve">—</w:t>
      </w:r>
      <w:r>
        <w:t xml:space="preserve"> </w:t>
      </w:r>
      <w:r>
        <w:t xml:space="preserve">가역성의</w:t>
      </w:r>
      <w:r>
        <w:t xml:space="preserve"> </w:t>
      </w:r>
      <w:r>
        <w:t xml:space="preserve">덮어쓰기</w:t>
      </w:r>
      <w:r>
        <w:t xml:space="preserve"> </w:t>
      </w:r>
      <w:r>
        <w:t xml:space="preserve">원리:</w:t>
      </w:r>
      <w:r>
        <w:t xml:space="preserve"> </w:t>
      </w:r>
      <w:r>
        <w:t xml:space="preserve">표면</w:t>
      </w:r>
      <w:r>
        <w:t xml:space="preserve"> </w:t>
      </w:r>
      <w:r>
        <w:t xml:space="preserve">복원,</w:t>
      </w:r>
      <w:r>
        <w:t xml:space="preserve"> </w:t>
      </w:r>
      <w:r>
        <w:t xml:space="preserve">전이</w:t>
      </w:r>
      <w:r>
        <w:t xml:space="preserve"> </w:t>
      </w:r>
      <w:r>
        <w:t xml:space="preserve">이력,</w:t>
      </w:r>
      <w:r>
        <w:t xml:space="preserve"> </w:t>
      </w:r>
      <w:r>
        <w:t xml:space="preserve">잔여</w:t>
      </w:r>
      <w:r>
        <w:t xml:space="preserve"> </w:t>
      </w:r>
      <w:r>
        <w:t xml:space="preserve">비가역성</w:t>
      </w:r>
    </w:p>
    <w:p>
      <w:pPr>
        <w:pStyle w:val="Date"/>
      </w:pPr>
      <w:r>
        <w:t xml:space="preserve">2026-05-25</w:t>
      </w:r>
    </w:p>
    <w:bookmarkStart w:id="20" w:name="abstract"/>
    <w:p>
      <w:pPr>
        <w:pStyle w:val="Heading1"/>
      </w:pPr>
      <w:r>
        <w:t xml:space="preserve">Abstract</w:t>
      </w:r>
    </w:p>
    <w:p>
      <w:pPr>
        <w:pStyle w:val="FirstParagraph"/>
      </w:pPr>
      <w:r>
        <w:t xml:space="preserve">SΔϕ-69 defines apparent reversibility as</w:t>
      </w:r>
      <w:r>
        <w:t xml:space="preserve"> </w:t>
      </w:r>
      <w:r>
        <w:rPr>
          <w:b/>
          <w:bCs/>
        </w:rPr>
        <w:t xml:space="preserve">overwrite rather than true return</w:t>
      </w:r>
      <w:r>
        <w:t xml:space="preserve">. A system may be reconstructed so that its visible or operational surface resembles an earlier state, yet the fact that a transition occurred, and the costs produced by that transition, are not erased. This module separates surface equivalence from transition-history erasure and uses SΔϕ-56 Transition Completion Cost (TCC) as a lower-layer diagnostic for measuring the cost of apparent restoration.</w:t>
      </w:r>
    </w:p>
    <w:p>
      <w:pPr>
        <w:pStyle w:val="BodyText"/>
      </w:pPr>
      <w:r>
        <w:t xml:space="preserve">In Korean:</w:t>
      </w:r>
      <w:r>
        <w:t xml:space="preserve"> </w:t>
      </w:r>
      <w:r>
        <w:rPr>
          <w:b/>
          <w:bCs/>
        </w:rPr>
        <w:t xml:space="preserve">가역은 되돌림이 아니라 덮어쓰기다.</w:t>
      </w:r>
      <w:r>
        <w:t xml:space="preserve"> </w:t>
      </w:r>
      <w:r>
        <w:t xml:space="preserve">이전 상태와 유사한 표면은 재구성될 수 있으나, 그 상태가 변화했다는 사실과 그 변화가 남긴 비용은 폐기되지 않는다.</w:t>
      </w:r>
    </w:p>
    <w:bookmarkEnd w:id="20"/>
    <w:bookmarkStart w:id="21" w:name="core-proposition"/>
    <w:p>
      <w:pPr>
        <w:pStyle w:val="Heading1"/>
      </w:pPr>
      <w:r>
        <w:t xml:space="preserve">1. Core proposition</w:t>
      </w:r>
    </w:p>
    <w:p>
      <w:pPr>
        <w:pStyle w:val="BlockText"/>
      </w:pPr>
      <w:r>
        <w:t xml:space="preserve">Reversibility is overwrite, not true return.</w:t>
      </w:r>
    </w:p>
    <w:p>
      <w:pPr>
        <w:pStyle w:val="FirstParagraph"/>
      </w:pPr>
      <w:r>
        <w:t xml:space="preserve">A prior surface state may be reconstructed. A legal status may be repealed. A policy may be abolished. A relationship may be repaired. A memory may be erased. A model may be rolled back. A file may be restored. Yet none of these operations makes the intervening transition equivalent to non-occurrence.</w:t>
      </w:r>
    </w:p>
    <w:p>
      <w:pPr>
        <w:pStyle w:val="BodyText"/>
      </w:pPr>
      <w:r>
        <w:t xml:space="preserve">SΔϕ-69 therefore does not deny practical restoration. It denies the equation between restoration and erasure. To return is not to undo. To restore is not to erase. Reversibility is often the reconstruction of a surface, not the cancellation of passage.</w:t>
      </w:r>
    </w:p>
    <w:bookmarkEnd w:id="21"/>
    <w:bookmarkStart w:id="27" w:name="definitions"/>
    <w:p>
      <w:pPr>
        <w:pStyle w:val="Heading1"/>
      </w:pPr>
      <w:r>
        <w:t xml:space="preserve">2. Definitions</w:t>
      </w:r>
    </w:p>
    <w:bookmarkStart w:id="22" w:name="prior-state"/>
    <w:p>
      <w:pPr>
        <w:pStyle w:val="Heading2"/>
      </w:pPr>
      <w:r>
        <w:t xml:space="preserve">2.1 Prior state</w:t>
      </w:r>
    </w:p>
    <w:p>
      <w:pPr>
        <w:pStyle w:val="FirstParagraph"/>
      </w:pPr>
      <w:r>
        <w:t xml:space="preserve">The earlier condition to which a system appears to return. It may be a legal state, social state, memory state, institutional state, file state, model state, narrative state, or relationship state.</w:t>
      </w:r>
    </w:p>
    <w:bookmarkEnd w:id="22"/>
    <w:bookmarkStart w:id="23" w:name="changed-state"/>
    <w:p>
      <w:pPr>
        <w:pStyle w:val="Heading2"/>
      </w:pPr>
      <w:r>
        <w:t xml:space="preserve">2.2 Changed state</w:t>
      </w:r>
    </w:p>
    <w:p>
      <w:pPr>
        <w:pStyle w:val="FirstParagraph"/>
      </w:pPr>
      <w:r>
        <w:t xml:space="preserve">The condition after a non-zero transition has occurred. In SΔϕ terms, this means Δϕ is non-zero. A difference has been produced, even if it is later covered or repaired.</w:t>
      </w:r>
    </w:p>
    <w:bookmarkEnd w:id="23"/>
    <w:bookmarkStart w:id="24" w:name="restored-surface-state"/>
    <w:p>
      <w:pPr>
        <w:pStyle w:val="Heading2"/>
      </w:pPr>
      <w:r>
        <w:t xml:space="preserve">2.3 Restored surface state</w:t>
      </w:r>
    </w:p>
    <w:p>
      <w:pPr>
        <w:pStyle w:val="FirstParagraph"/>
      </w:pPr>
      <w:r>
        <w:t xml:space="preserve">The later state that resembles the prior state. It may have the same visible status, similar functional behavior, or comparable institutional form. However, surface resemblance does not prove erased history.</w:t>
      </w:r>
    </w:p>
    <w:bookmarkEnd w:id="24"/>
    <w:bookmarkStart w:id="25" w:name="transition-history"/>
    <w:p>
      <w:pPr>
        <w:pStyle w:val="Heading2"/>
      </w:pPr>
      <w:r>
        <w:t xml:space="preserve">2.4 Transition history</w:t>
      </w:r>
    </w:p>
    <w:p>
      <w:pPr>
        <w:pStyle w:val="FirstParagraph"/>
      </w:pPr>
      <w:r>
        <w:t xml:space="preserve">The sequence of operations, costs, constraints, decisions, injuries, repairs, adaptations, records, and downstream effects generated between the prior state and the restored surface state.</w:t>
      </w:r>
    </w:p>
    <w:bookmarkEnd w:id="25"/>
    <w:bookmarkStart w:id="26" w:name="residual-irreversibility"/>
    <w:p>
      <w:pPr>
        <w:pStyle w:val="Heading2"/>
      </w:pPr>
      <w:r>
        <w:t xml:space="preserve">2.5 Residual irreversibility</w:t>
      </w:r>
    </w:p>
    <w:p>
      <w:pPr>
        <w:pStyle w:val="FirstParagraph"/>
      </w:pPr>
      <w:r>
        <w:t xml:space="preserve">The remaining trace, cost, memory, record, damage, adaptation, distrust, institutional inertia, or downstream change that persists after apparent restoration.</w:t>
      </w:r>
    </w:p>
    <w:bookmarkEnd w:id="26"/>
    <w:bookmarkEnd w:id="27"/>
    <w:bookmarkStart w:id="28" w:name="the-0-360-analogy"/>
    <w:p>
      <w:pPr>
        <w:pStyle w:val="Heading1"/>
      </w:pPr>
      <w:r>
        <w:t xml:space="preserve">3. The 0° / 360° analogy</w:t>
      </w:r>
    </w:p>
    <w:p>
      <w:pPr>
        <w:pStyle w:val="FirstParagraph"/>
      </w:pPr>
      <w:r>
        <w:t xml:space="preserve">0° and 360° may occupy the same surface coordinate, but they do not share the same transition history.</w:t>
      </w:r>
    </w:p>
    <w:p>
      <w:pPr>
        <w:pStyle w:val="BodyText"/>
      </w:pPr>
      <w:r>
        <w:t xml:space="preserve">0° is the state before traversal. 360° is the state after traversal. The location appears equivalent; the path history is not equivalent. Surface equivalence does not erase passage.</w:t>
      </w:r>
    </w:p>
    <w:p>
      <w:pPr>
        <w:pStyle w:val="BodyText"/>
      </w:pPr>
      <w:r>
        <w:t xml:space="preserve">In Korean:</w:t>
      </w:r>
    </w:p>
    <w:p>
      <w:pPr>
        <w:pStyle w:val="BlockText"/>
      </w:pPr>
      <w:r>
        <w:t xml:space="preserve">0°와 360°는 같은 표면 좌표를 가질 수 있다. 그러나 둘은 같은 경로 이력을 갖지 않는다. 0°는 아직 통과하지 않은 상태이고, 360°는 한 바퀴를 통과한 뒤 같은 위치에 도달한 상태다.</w:t>
      </w:r>
    </w:p>
    <w:p>
      <w:pPr>
        <w:pStyle w:val="FirstParagraph"/>
      </w:pPr>
      <w:r>
        <w:t xml:space="preserve">This analogy is the minimal image of SΔϕ-69. A system can look as though it has returned. But if it has traversed a path, the traversal remains part of its history.</w:t>
      </w:r>
    </w:p>
    <w:bookmarkEnd w:id="28"/>
    <w:bookmarkStart w:id="29" w:name="X6c4c95a55d8cde6070ecaaddeae59102e2dfe49"/>
    <w:p>
      <w:pPr>
        <w:pStyle w:val="Heading1"/>
      </w:pPr>
      <w:r>
        <w:t xml:space="preserve">4. Surface equivalence vs transition history</w:t>
      </w:r>
    </w:p>
    <w:p>
      <w:pPr>
        <w:pStyle w:val="FirstParagraph"/>
      </w:pPr>
      <w:r>
        <w:t xml:space="preserve">SΔϕ-69 separates two questions that are often collapsed:</w:t>
      </w:r>
    </w:p>
    <w:p>
      <w:pPr>
        <w:pStyle w:val="Compact"/>
        <w:numPr>
          <w:ilvl w:val="0"/>
          <w:numId w:val="1001"/>
        </w:numPr>
      </w:pPr>
      <w:r>
        <w:t xml:space="preserve">Does the current surface resemble the prior surface?</w:t>
      </w:r>
    </w:p>
    <w:p>
      <w:pPr>
        <w:pStyle w:val="Compact"/>
        <w:numPr>
          <w:ilvl w:val="0"/>
          <w:numId w:val="1001"/>
        </w:numPr>
      </w:pPr>
      <w:r>
        <w:t xml:space="preserve">Did the system pass through a non-zero transition to reach that surface?</w:t>
      </w:r>
    </w:p>
    <w:p>
      <w:pPr>
        <w:pStyle w:val="FirstParagraph"/>
      </w:pPr>
      <w:r>
        <w:t xml:space="preserve">A system may answer yes to both. This is the key case: surface similarity can coexist with irreversible transition history.</w:t>
      </w:r>
    </w:p>
    <w:p>
      <w:pPr>
        <w:pStyle w:val="BodyText"/>
      </w:pPr>
      <w:r>
        <w:t xml:space="preserve">Examples:</w:t>
      </w:r>
    </w:p>
    <w:p>
      <w:pPr>
        <w:pStyle w:val="Compact"/>
        <w:numPr>
          <w:ilvl w:val="0"/>
          <w:numId w:val="1002"/>
        </w:numPr>
      </w:pPr>
      <w:r>
        <w:t xml:space="preserve">A repealed law may restore legal permission while leaving compliance costs and cultural stigma behind.</w:t>
      </w:r>
    </w:p>
    <w:p>
      <w:pPr>
        <w:pStyle w:val="Compact"/>
        <w:numPr>
          <w:ilvl w:val="0"/>
          <w:numId w:val="1002"/>
        </w:numPr>
      </w:pPr>
      <w:r>
        <w:t xml:space="preserve">A restored file may match an earlier file state while preserving deletion logs and recovery costs.</w:t>
      </w:r>
    </w:p>
    <w:p>
      <w:pPr>
        <w:pStyle w:val="Compact"/>
        <w:numPr>
          <w:ilvl w:val="0"/>
          <w:numId w:val="1002"/>
        </w:numPr>
      </w:pPr>
      <w:r>
        <w:t xml:space="preserve">A repaired relationship may resume interaction while preserving the fact of injury and repair.</w:t>
      </w:r>
    </w:p>
    <w:p>
      <w:pPr>
        <w:pStyle w:val="Compact"/>
        <w:numPr>
          <w:ilvl w:val="0"/>
          <w:numId w:val="1002"/>
        </w:numPr>
      </w:pPr>
      <w:r>
        <w:t xml:space="preserve">A memory reset may remove recall while leaving the events that produced the memory intact.</w:t>
      </w:r>
    </w:p>
    <w:p>
      <w:pPr>
        <w:pStyle w:val="Compact"/>
        <w:numPr>
          <w:ilvl w:val="0"/>
          <w:numId w:val="1002"/>
        </w:numPr>
      </w:pPr>
      <w:r>
        <w:t xml:space="preserve">A model rollback may restore an earlier checkpoint while leaving downstream outputs and user effects already distributed.</w:t>
      </w:r>
    </w:p>
    <w:p>
      <w:pPr>
        <w:pStyle w:val="FirstParagraph"/>
      </w:pPr>
      <w:r>
        <w:t xml:space="preserve">The diagnostic mistake occurs when surface equivalence is treated as proof that transition history has been erased.</w:t>
      </w:r>
    </w:p>
    <w:bookmarkEnd w:id="29"/>
    <w:bookmarkStart w:id="30" w:name="reversibility-as-overwrite"/>
    <w:p>
      <w:pPr>
        <w:pStyle w:val="Heading1"/>
      </w:pPr>
      <w:r>
        <w:t xml:space="preserve">5. Reversibility as overwrite</w:t>
      </w:r>
    </w:p>
    <w:p>
      <w:pPr>
        <w:pStyle w:val="FirstParagraph"/>
      </w:pPr>
      <w:r>
        <w:t xml:space="preserve">SΔϕ-69 treats apparent reversibility as an overwrite operation. Overwrite means that a current state is reconstructed or re-presented so that it resembles a prior state. It does not mean that the intervening transition did not occur.</w:t>
      </w:r>
    </w:p>
    <w:p>
      <w:pPr>
        <w:pStyle w:val="BodyText"/>
      </w:pPr>
      <w:r>
        <w:t xml:space="preserve">This principle can be written as:</w:t>
      </w:r>
    </w:p>
    <w:p>
      <w:pPr>
        <w:pStyle w:val="SourceCode"/>
      </w:pPr>
      <w:r>
        <w:rPr>
          <w:rStyle w:val="VerbatimChar"/>
        </w:rPr>
        <w:t xml:space="preserve">Surface(S_prior) ≈ Surface(S_restored)</w:t>
      </w:r>
      <w:r>
        <w:br/>
      </w:r>
      <w:r>
        <w:rPr>
          <w:rStyle w:val="VerbatimChar"/>
        </w:rPr>
        <w:t xml:space="preserve">History(S_prior) ≠ History(S_restored)</w:t>
      </w:r>
      <w:r>
        <w:br/>
      </w:r>
      <w:r>
        <w:rPr>
          <w:rStyle w:val="VerbatimChar"/>
        </w:rPr>
        <w:t xml:space="preserve">TCC(S_prior → S_restored) &gt; 0, if traversal occurred</w:t>
      </w:r>
    </w:p>
    <w:p>
      <w:pPr>
        <w:pStyle w:val="FirstParagraph"/>
      </w:pPr>
      <w:r>
        <w:t xml:space="preserve">The restored state is not false. It may function. It may matter. It may reduce harm. It may reopen paths. But it is not identical to a world in which the transition never happened.</w:t>
      </w:r>
    </w:p>
    <w:bookmarkEnd w:id="30"/>
    <w:bookmarkStart w:id="31" w:name="tcc-as-lower-layer-diagnostic"/>
    <w:p>
      <w:pPr>
        <w:pStyle w:val="Heading1"/>
      </w:pPr>
      <w:r>
        <w:t xml:space="preserve">6. TCC as lower-layer diagnostic</w:t>
      </w:r>
    </w:p>
    <w:p>
      <w:pPr>
        <w:pStyle w:val="FirstParagraph"/>
      </w:pPr>
      <w:r>
        <w:t xml:space="preserve">SΔϕ-56 Transition Completion Cost (TCC) remains an independent module. SΔϕ-69 invokes TCC as a lower-layer diagnostic when apparent restoration requires measurement.</w:t>
      </w:r>
    </w:p>
    <w:p>
      <w:pPr>
        <w:pStyle w:val="BodyText"/>
      </w:pPr>
      <w:r>
        <w:t xml:space="preserve">TCC asks:</w:t>
      </w:r>
    </w:p>
    <w:p>
      <w:pPr>
        <w:pStyle w:val="Compact"/>
        <w:numPr>
          <w:ilvl w:val="0"/>
          <w:numId w:val="1003"/>
        </w:numPr>
      </w:pPr>
      <w:r>
        <w:t xml:space="preserve">How many completed actions were required to reconstruct the surface state?</w:t>
      </w:r>
    </w:p>
    <w:p>
      <w:pPr>
        <w:pStyle w:val="Compact"/>
        <w:numPr>
          <w:ilvl w:val="0"/>
          <w:numId w:val="1003"/>
        </w:numPr>
      </w:pPr>
      <w:r>
        <w:t xml:space="preserve">How much friction, compliance, repair, coordination, documentation, or institutional effort was required?</w:t>
      </w:r>
    </w:p>
    <w:p>
      <w:pPr>
        <w:pStyle w:val="Compact"/>
        <w:numPr>
          <w:ilvl w:val="0"/>
          <w:numId w:val="1003"/>
        </w:numPr>
      </w:pPr>
      <w:r>
        <w:t xml:space="preserve">What costs remain after the surface has been restored?</w:t>
      </w:r>
    </w:p>
    <w:p>
      <w:pPr>
        <w:pStyle w:val="Compact"/>
        <w:numPr>
          <w:ilvl w:val="0"/>
          <w:numId w:val="1003"/>
        </w:numPr>
      </w:pPr>
      <w:r>
        <w:t xml:space="preserve">Did the restoration reduce risk, or merely conceal the residue?</w:t>
      </w:r>
    </w:p>
    <w:p>
      <w:pPr>
        <w:pStyle w:val="FirstParagraph"/>
      </w:pPr>
      <w:r>
        <w:t xml:space="preserve">In SΔϕ-69, TCC measures the cost of overwrite. It does not determine the whole meaning of the case. It gives the AI or analyst a way to distinguish low-cost rollback, high-cost restoration, symbolic reversal, and unresolved residue.</w:t>
      </w:r>
    </w:p>
    <w:bookmarkEnd w:id="31"/>
    <w:bookmarkStart w:id="32" w:name="residual-irreversibility-1"/>
    <w:p>
      <w:pPr>
        <w:pStyle w:val="Heading1"/>
      </w:pPr>
      <w:r>
        <w:t xml:space="preserve">7. Residual irreversibility</w:t>
      </w:r>
    </w:p>
    <w:p>
      <w:pPr>
        <w:pStyle w:val="FirstParagraph"/>
      </w:pPr>
      <w:r>
        <w:t xml:space="preserve">Residual irreversibility is the portion of the transition that remains after apparent restoration. It may be visible or hidden, measurable or partly unmeasurable, institutional or affective, technical or historical.</w:t>
      </w:r>
    </w:p>
    <w:p>
      <w:pPr>
        <w:pStyle w:val="BodyText"/>
      </w:pPr>
      <w:r>
        <w:t xml:space="preserve">Common residue types include:</w:t>
      </w:r>
    </w:p>
    <w:p>
      <w:pPr>
        <w:pStyle w:val="Compact"/>
        <w:numPr>
          <w:ilvl w:val="0"/>
          <w:numId w:val="1004"/>
        </w:numPr>
      </w:pPr>
      <w:r>
        <w:t xml:space="preserve">records and logs,</w:t>
      </w:r>
    </w:p>
    <w:p>
      <w:pPr>
        <w:pStyle w:val="Compact"/>
        <w:numPr>
          <w:ilvl w:val="0"/>
          <w:numId w:val="1004"/>
        </w:numPr>
      </w:pPr>
      <w:r>
        <w:t xml:space="preserve">institutional memory,</w:t>
      </w:r>
    </w:p>
    <w:p>
      <w:pPr>
        <w:pStyle w:val="Compact"/>
        <w:numPr>
          <w:ilvl w:val="0"/>
          <w:numId w:val="1004"/>
        </w:numPr>
      </w:pPr>
      <w:r>
        <w:t xml:space="preserve">trust loss,</w:t>
      </w:r>
    </w:p>
    <w:p>
      <w:pPr>
        <w:pStyle w:val="Compact"/>
        <w:numPr>
          <w:ilvl w:val="0"/>
          <w:numId w:val="1004"/>
        </w:numPr>
      </w:pPr>
      <w:r>
        <w:t xml:space="preserve">compliance architecture,</w:t>
      </w:r>
    </w:p>
    <w:p>
      <w:pPr>
        <w:pStyle w:val="Compact"/>
        <w:numPr>
          <w:ilvl w:val="0"/>
          <w:numId w:val="1004"/>
        </w:numPr>
      </w:pPr>
      <w:r>
        <w:t xml:space="preserve">cultural stigma,</w:t>
      </w:r>
    </w:p>
    <w:p>
      <w:pPr>
        <w:pStyle w:val="Compact"/>
        <w:numPr>
          <w:ilvl w:val="0"/>
          <w:numId w:val="1004"/>
        </w:numPr>
      </w:pPr>
      <w:r>
        <w:t xml:space="preserve">legal precedent,</w:t>
      </w:r>
    </w:p>
    <w:p>
      <w:pPr>
        <w:pStyle w:val="Compact"/>
        <w:numPr>
          <w:ilvl w:val="0"/>
          <w:numId w:val="1004"/>
        </w:numPr>
      </w:pPr>
      <w:r>
        <w:t xml:space="preserve">adaptation cost,</w:t>
      </w:r>
    </w:p>
    <w:p>
      <w:pPr>
        <w:pStyle w:val="Compact"/>
        <w:numPr>
          <w:ilvl w:val="0"/>
          <w:numId w:val="1004"/>
        </w:numPr>
      </w:pPr>
      <w:r>
        <w:t xml:space="preserve">repair cost,</w:t>
      </w:r>
    </w:p>
    <w:p>
      <w:pPr>
        <w:pStyle w:val="Compact"/>
        <w:numPr>
          <w:ilvl w:val="0"/>
          <w:numId w:val="1004"/>
        </w:numPr>
      </w:pPr>
      <w:r>
        <w:t xml:space="preserve">trauma or injury,</w:t>
      </w:r>
    </w:p>
    <w:p>
      <w:pPr>
        <w:pStyle w:val="Compact"/>
        <w:numPr>
          <w:ilvl w:val="0"/>
          <w:numId w:val="1004"/>
        </w:numPr>
      </w:pPr>
      <w:r>
        <w:t xml:space="preserve">relationship deformation,</w:t>
      </w:r>
    </w:p>
    <w:p>
      <w:pPr>
        <w:pStyle w:val="Compact"/>
        <w:numPr>
          <w:ilvl w:val="0"/>
          <w:numId w:val="1004"/>
        </w:numPr>
      </w:pPr>
      <w:r>
        <w:t xml:space="preserve">downstream copies,</w:t>
      </w:r>
    </w:p>
    <w:p>
      <w:pPr>
        <w:pStyle w:val="Compact"/>
        <w:numPr>
          <w:ilvl w:val="0"/>
          <w:numId w:val="1004"/>
        </w:numPr>
      </w:pPr>
      <w:r>
        <w:t xml:space="preserve">political boundary changes,</w:t>
      </w:r>
    </w:p>
    <w:p>
      <w:pPr>
        <w:pStyle w:val="Compact"/>
        <w:numPr>
          <w:ilvl w:val="0"/>
          <w:numId w:val="1004"/>
        </w:numPr>
      </w:pPr>
      <w:r>
        <w:t xml:space="preserve">interpretive residue.</w:t>
      </w:r>
    </w:p>
    <w:p>
      <w:pPr>
        <w:pStyle w:val="FirstParagraph"/>
      </w:pPr>
      <w:r>
        <w:t xml:space="preserve">SΔϕ-69 does not require all residue to be equally important. It requires that residue not be silently treated as erased simply because the surface has changed.</w:t>
      </w:r>
    </w:p>
    <w:bookmarkEnd w:id="32"/>
    <w:bookmarkStart w:id="33" w:name="diagnostic-questions"/>
    <w:p>
      <w:pPr>
        <w:pStyle w:val="Heading1"/>
      </w:pPr>
      <w:r>
        <w:t xml:space="preserve">8. Diagnostic questions</w:t>
      </w:r>
    </w:p>
    <w:p>
      <w:pPr>
        <w:pStyle w:val="FirstParagraph"/>
      </w:pPr>
      <w:r>
        <w:t xml:space="preserve">When a system appears to return to a prior state, ask:</w:t>
      </w:r>
    </w:p>
    <w:p>
      <w:pPr>
        <w:pStyle w:val="Compact"/>
        <w:numPr>
          <w:ilvl w:val="0"/>
          <w:numId w:val="1005"/>
        </w:numPr>
      </w:pPr>
      <w:r>
        <w:t xml:space="preserve">What is the prior state?</w:t>
      </w:r>
    </w:p>
    <w:p>
      <w:pPr>
        <w:pStyle w:val="Compact"/>
        <w:numPr>
          <w:ilvl w:val="0"/>
          <w:numId w:val="1005"/>
        </w:numPr>
      </w:pPr>
      <w:r>
        <w:t xml:space="preserve">What transition occurred?</w:t>
      </w:r>
    </w:p>
    <w:p>
      <w:pPr>
        <w:pStyle w:val="Compact"/>
        <w:numPr>
          <w:ilvl w:val="0"/>
          <w:numId w:val="1005"/>
        </w:numPr>
      </w:pPr>
      <w:r>
        <w:t xml:space="preserve">What surface now appears restored?</w:t>
      </w:r>
    </w:p>
    <w:p>
      <w:pPr>
        <w:pStyle w:val="Compact"/>
        <w:numPr>
          <w:ilvl w:val="0"/>
          <w:numId w:val="1005"/>
        </w:numPr>
      </w:pPr>
      <w:r>
        <w:t xml:space="preserve">What had to be overwritten, repaired, repealed, reconstructed, or suppressed?</w:t>
      </w:r>
    </w:p>
    <w:p>
      <w:pPr>
        <w:pStyle w:val="Compact"/>
        <w:numPr>
          <w:ilvl w:val="0"/>
          <w:numId w:val="1005"/>
        </w:numPr>
      </w:pPr>
      <w:r>
        <w:t xml:space="preserve">What is the TCC of the restoration path?</w:t>
      </w:r>
    </w:p>
    <w:p>
      <w:pPr>
        <w:pStyle w:val="Compact"/>
        <w:numPr>
          <w:ilvl w:val="0"/>
          <w:numId w:val="1005"/>
        </w:numPr>
      </w:pPr>
      <w:r>
        <w:t xml:space="preserve">What remains after restoration?</w:t>
      </w:r>
    </w:p>
    <w:p>
      <w:pPr>
        <w:pStyle w:val="Compact"/>
        <w:numPr>
          <w:ilvl w:val="0"/>
          <w:numId w:val="1005"/>
        </w:numPr>
      </w:pPr>
      <w:r>
        <w:t xml:space="preserve">Is the apparent return a true surface return with low residue, an overwrite with residual cost, a symbolic reversal only, a failed restoration, or a high-residue irreversibility?</w:t>
      </w:r>
    </w:p>
    <w:bookmarkEnd w:id="33"/>
    <w:bookmarkStart w:id="34" w:name="safe-application-rule"/>
    <w:p>
      <w:pPr>
        <w:pStyle w:val="Heading1"/>
      </w:pPr>
      <w:r>
        <w:t xml:space="preserve">9. Safe application rule</w:t>
      </w:r>
    </w:p>
    <w:p>
      <w:pPr>
        <w:pStyle w:val="FirstParagraph"/>
      </w:pPr>
      <w:r>
        <w:t xml:space="preserve">The following cases in the appendices are illustrative applications, not exhaustive causal explanations. They are included to show how apparent reversal may differ from actual erasure of transition history.</w:t>
      </w:r>
    </w:p>
    <w:p>
      <w:pPr>
        <w:pStyle w:val="BodyText"/>
      </w:pPr>
      <w:r>
        <w:t xml:space="preserve">SΔϕ-69 must not be used to claim that all repair is fake, that all restoration is useless, or that every historical consequence has one cause. Its purpose is more limited and more precise: to prevent surface restoration from being confused with non-occurrence.</w:t>
      </w:r>
    </w:p>
    <w:bookmarkEnd w:id="34"/>
    <w:bookmarkStart w:id="35" w:name="misuse-conditions"/>
    <w:p>
      <w:pPr>
        <w:pStyle w:val="Heading1"/>
      </w:pPr>
      <w:r>
        <w:t xml:space="preserve">10. Misuse conditions</w:t>
      </w:r>
    </w:p>
    <w:p>
      <w:pPr>
        <w:pStyle w:val="FirstParagraph"/>
      </w:pPr>
      <w:r>
        <w:t xml:space="preserve">SΔϕ-69 should be rejected or corrected when it is used in any of the following ways:</w:t>
      </w:r>
    </w:p>
    <w:p>
      <w:pPr>
        <w:pStyle w:val="Compact"/>
        <w:numPr>
          <w:ilvl w:val="0"/>
          <w:numId w:val="1006"/>
        </w:numPr>
      </w:pPr>
      <w:r>
        <w:rPr>
          <w:b/>
          <w:bCs/>
        </w:rPr>
        <w:t xml:space="preserve">Over-totalization</w:t>
      </w:r>
      <w:r>
        <w:t xml:space="preserve"> </w:t>
      </w:r>
      <w:r>
        <w:t xml:space="preserve">- claiming that no restoration can meaningfully matter.</w:t>
      </w:r>
    </w:p>
    <w:p>
      <w:pPr>
        <w:pStyle w:val="Compact"/>
        <w:numPr>
          <w:ilvl w:val="0"/>
          <w:numId w:val="1006"/>
        </w:numPr>
      </w:pPr>
      <w:r>
        <w:rPr>
          <w:b/>
          <w:bCs/>
        </w:rPr>
        <w:t xml:space="preserve">Causal overreach</w:t>
      </w:r>
      <w:r>
        <w:t xml:space="preserve"> </w:t>
      </w:r>
      <w:r>
        <w:t xml:space="preserve">- collapsing complex historical outcomes into a single cause.</w:t>
      </w:r>
    </w:p>
    <w:p>
      <w:pPr>
        <w:pStyle w:val="Compact"/>
        <w:numPr>
          <w:ilvl w:val="0"/>
          <w:numId w:val="1006"/>
        </w:numPr>
      </w:pPr>
      <w:r>
        <w:rPr>
          <w:b/>
          <w:bCs/>
        </w:rPr>
        <w:t xml:space="preserve">Residue inflation</w:t>
      </w:r>
      <w:r>
        <w:t xml:space="preserve"> </w:t>
      </w:r>
      <w:r>
        <w:t xml:space="preserve">- exaggerating residue beyond evidence.</w:t>
      </w:r>
    </w:p>
    <w:p>
      <w:pPr>
        <w:pStyle w:val="Compact"/>
        <w:numPr>
          <w:ilvl w:val="0"/>
          <w:numId w:val="1006"/>
        </w:numPr>
      </w:pPr>
      <w:r>
        <w:rPr>
          <w:b/>
          <w:bCs/>
        </w:rPr>
        <w:t xml:space="preserve">Surface dismissal</w:t>
      </w:r>
      <w:r>
        <w:t xml:space="preserve"> </w:t>
      </w:r>
      <w:r>
        <w:t xml:space="preserve">- ignoring real practical benefits of restoration.</w:t>
      </w:r>
    </w:p>
    <w:p>
      <w:pPr>
        <w:pStyle w:val="Compact"/>
        <w:numPr>
          <w:ilvl w:val="0"/>
          <w:numId w:val="1006"/>
        </w:numPr>
      </w:pPr>
      <w:r>
        <w:rPr>
          <w:b/>
          <w:bCs/>
        </w:rPr>
        <w:t xml:space="preserve">Moralization drift</w:t>
      </w:r>
      <w:r>
        <w:t xml:space="preserve"> </w:t>
      </w:r>
      <w:r>
        <w:t xml:space="preserve">- turning structural diagnosis into personal accusation.</w:t>
      </w:r>
    </w:p>
    <w:p>
      <w:pPr>
        <w:pStyle w:val="Compact"/>
        <w:numPr>
          <w:ilvl w:val="0"/>
          <w:numId w:val="1006"/>
        </w:numPr>
      </w:pPr>
      <w:r>
        <w:rPr>
          <w:b/>
          <w:bCs/>
        </w:rPr>
        <w:t xml:space="preserve">Case capture</w:t>
      </w:r>
      <w:r>
        <w:t xml:space="preserve"> </w:t>
      </w:r>
      <w:r>
        <w:t xml:space="preserve">- allowing a politically charged case to overwhelm the abstract principle.</w:t>
      </w:r>
    </w:p>
    <w:bookmarkEnd w:id="35"/>
    <w:bookmarkStart w:id="36" w:name="conclusion"/>
    <w:p>
      <w:pPr>
        <w:pStyle w:val="Heading1"/>
      </w:pPr>
      <w:r>
        <w:t xml:space="preserve">11. Conclusion</w:t>
      </w:r>
    </w:p>
    <w:p>
      <w:pPr>
        <w:pStyle w:val="FirstParagraph"/>
      </w:pPr>
      <w:r>
        <w:t xml:space="preserve">SΔϕ-69 can be summarized in three lines:</w:t>
      </w:r>
    </w:p>
    <w:p>
      <w:pPr>
        <w:pStyle w:val="BlockText"/>
      </w:pPr>
      <w:r>
        <w:t xml:space="preserve">To return is not to undo.</w:t>
      </w:r>
      <w:r>
        <w:br/>
      </w:r>
      <w:r>
        <w:t xml:space="preserve">To restore is not to erase.</w:t>
      </w:r>
      <w:r>
        <w:br/>
      </w:r>
      <w:r>
        <w:t xml:space="preserve">Reversibility is often the reconstruction of a surface, not the cancellation of passage.</w:t>
      </w:r>
    </w:p>
    <w:p>
      <w:pPr>
        <w:pStyle w:val="FirstParagraph"/>
      </w:pPr>
      <w:r>
        <w:t xml:space="preserve">Korean summary:</w:t>
      </w:r>
    </w:p>
    <w:p>
      <w:pPr>
        <w:pStyle w:val="BlockText"/>
      </w:pPr>
      <w:r>
        <w:t xml:space="preserve">돌아간다는 것은 없던 일로 만든다는 뜻이 아니다.</w:t>
      </w:r>
      <w:r>
        <w:br/>
      </w:r>
      <w:r>
        <w:t xml:space="preserve">복원은 소거가 아니다.</w:t>
      </w:r>
      <w:r>
        <w:br/>
      </w:r>
      <w:r>
        <w:t xml:space="preserve">가역은 많은 경우, 통과의 취소가 아니라 표면의 재구성이다.</w:t>
      </w:r>
    </w:p>
    <w:bookmarkEnd w:id="36"/>
    <w:bookmarkStart w:id="37" w:name="appendix-guide"/>
    <w:p>
      <w:pPr>
        <w:pStyle w:val="Heading1"/>
      </w:pPr>
      <w:r>
        <w:t xml:space="preserve">Appendix guide</w:t>
      </w:r>
    </w:p>
    <w:p>
      <w:pPr>
        <w:pStyle w:val="FirstParagraph"/>
      </w:pPr>
      <w:r>
        <w:t xml:space="preserve">The appendix files provide policy, historical, narrative, and technical examples. They should be read as diagnostic illustrations, not as total causal accounts.</w:t>
      </w:r>
    </w:p>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SΔϕ-69 — Reversibility as Overwrite: Apparent Restoration, Transition History, and Residual Irreversibility</dc:title>
  <dc:creator/>
  <cp:keywords>SΔϕ, reversibility, overwrite, irreversibility, Transition Completion Cost, rollback, restoration, residual cost</cp:keywords>
  <dcterms:created xsi:type="dcterms:W3CDTF">2026-05-25T08:58:25Z</dcterms:created>
  <dcterms:modified xsi:type="dcterms:W3CDTF">2026-05-25T08:58:25Z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Sofience</vt:lpwstr>
  </property>
  <property fmtid="{D5CDD505-2E9C-101B-9397-08002B2CF9AE}" pid="3" name="date">
    <vt:lpwstr>2026-05-25</vt:lpwstr>
  </property>
  <property fmtid="{D5CDD505-2E9C-101B-9397-08002B2CF9AE}" pid="4" name="doi">
    <vt:lpwstr>10.5281/zenodo.20375357</vt:lpwstr>
  </property>
  <property fmtid="{D5CDD505-2E9C-101B-9397-08002B2CF9AE}" pid="5" name="subtitle">
    <vt:lpwstr>SΔϕ-69 — 가역성의 덮어쓰기 원리: 표면 복원, 전이 이력, 잔여 비가역성</vt:lpwstr>
  </property>
  <property fmtid="{D5CDD505-2E9C-101B-9397-08002B2CF9AE}" pid="6" name="version">
    <vt:lpwstr>v1.0</vt:lpwstr>
  </property>
</Properties>
</file>