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SDeltaPhi-35 - Minimal Closure Criteria for AGI</w:t>
      </w:r>
    </w:p>
    <w:p>
      <w:pPr>
        <w:jc w:val="center"/>
      </w:pPr>
      <w:r>
        <w:rPr>
          <w:i/>
          <w:sz w:val="24"/>
        </w:rPr>
        <w:t>A Delta-phi-Based Judgment Framework (v1.2, AI-Readable Package)</w:t>
      </w:r>
    </w:p>
    <w:p>
      <w:pPr>
        <w:jc w:val="center"/>
      </w:pPr>
      <w:r>
        <w:rPr>
          <w:sz w:val="18"/>
        </w:rPr>
        <w:t>Author: Sofience | DOI: 10.5281/zenodo.20431109 | Date: 2026-05-28</w:t>
      </w:r>
    </w:p>
    <w:p>
      <w:pPr>
        <w:pStyle w:val="Heading1"/>
      </w:pPr>
      <w:r>
        <w:t>Abstract</w:t>
      </w:r>
    </w:p>
    <w:p>
      <w:r>
        <w:t>This AI-readable package reformulates Artificial General Intelligence as a closure judgment problem rather than a human-equivalence label, benchmark aggregation, or impressionistic capability claim. AGI is evaluated by whether a minimal set of operational conditions has become stable under heterogeneous stress, recursive demand, and world constraint.</w:t>
      </w:r>
    </w:p>
    <w:p>
      <w:pPr>
        <w:pStyle w:val="Heading1"/>
      </w:pPr>
      <w:r>
        <w:t>Core Proposition</w:t>
      </w:r>
    </w:p>
    <w:p>
      <w:r>
        <w:t>AGI-like appearance is not AGI closure.</w:t>
      </w:r>
    </w:p>
    <w:p>
      <w:r>
        <w:t>AGI is not a destination label. AGI is a closure judgment problem.</w:t>
      </w:r>
    </w:p>
    <w:p>
      <w:pPr>
        <w:pStyle w:val="Heading1"/>
      </w:pPr>
      <w:r>
        <w:t>Minimal Coordinate Language</w:t>
      </w:r>
    </w:p>
    <w:p>
      <w:pPr>
        <w:pStyle w:val="ListBullet"/>
      </w:pPr>
      <w:r>
        <w:t>phi(t): state of a system at time t.</w:t>
      </w:r>
    </w:p>
    <w:p>
      <w:pPr>
        <w:pStyle w:val="ListBullet"/>
      </w:pPr>
      <w:r>
        <w:t>Delta-phi: state change.</w:t>
      </w:r>
    </w:p>
    <w:p>
      <w:pPr>
        <w:pStyle w:val="ListBullet"/>
      </w:pPr>
      <w:r>
        <w:t>G: transition kernel governing state evolution.</w:t>
      </w:r>
    </w:p>
    <w:p>
      <w:pPr>
        <w:pStyle w:val="ListBullet"/>
      </w:pPr>
      <w:r>
        <w:t>Closure: stabilization of an operational condition such that it persists across task variation, recursive update, and environmental demand without collapse.</w:t>
      </w:r>
    </w:p>
    <w:p>
      <w:pPr>
        <w:pStyle w:val="Heading1"/>
      </w:pPr>
      <w:r>
        <w:t>Five Minimal Closure Criteria</w:t>
      </w:r>
    </w:p>
    <w:p>
      <w:pPr>
        <w:pStyle w:val="Heading2"/>
      </w:pPr>
      <w:r>
        <w:t>Global Generality</w:t>
      </w:r>
    </w:p>
    <w:p>
      <w:r>
        <w:t>Definition: Global Generality is the capacity to sustain competent transition across heterogeneous task domains without catastrophic jaggedness or domain-specific collapse.</w:t>
      </w:r>
    </w:p>
    <w:p>
      <w:r>
        <w:t>Closure condition: Performance remains above threshold across diverse environments and variance of Delta-phi across tasks remains bounded.</w:t>
      </w:r>
    </w:p>
    <w:p>
      <w:r>
        <w:t>Failure mode if open: locally strong but globally unstable; brilliant in some regions, fragile in others.</w:t>
      </w:r>
    </w:p>
    <w:p>
      <w:pPr>
        <w:pStyle w:val="Heading2"/>
      </w:pPr>
      <w:r>
        <w:t>Long-Horizon Recursive Agency</w:t>
      </w:r>
    </w:p>
    <w:p>
      <w:r>
        <w:t>Definition: Long-Horizon Recursive Agency is the ability to preserve and update goal-directed structure across extended sequences rather than merely producing competent local responses.</w:t>
      </w:r>
    </w:p>
    <w:p>
      <w:r>
        <w:t>Closure condition: Goal(t) remains coherent through Goal(t+k) and path continuation remains stable under interruption pressure.</w:t>
      </w:r>
    </w:p>
    <w:p>
      <w:r>
        <w:t>Failure mode if open: appears agentic only in short bursts; can begin but not sustain.</w:t>
      </w:r>
    </w:p>
    <w:p>
      <w:pPr>
        <w:pStyle w:val="Heading2"/>
      </w:pPr>
      <w:r>
        <w:t>World-Model Correspondence</w:t>
      </w:r>
    </w:p>
    <w:p>
      <w:r>
        <w:t>Definition: World-Model Correspondence is the degree to which internal transition structure remains aligned with external world constraints rather than drifting into internally coherent but externally false trajectories.</w:t>
      </w:r>
    </w:p>
    <w:p>
      <w:r>
        <w:t>Closure condition: Distance between Delta-phi_model and Delta-phi_world remains sufficiently small under task-relevant stress.</w:t>
      </w:r>
    </w:p>
    <w:p>
      <w:r>
        <w:t>Failure mode if open: vulnerable to hallucination, brittle abstraction, and plans that collapse in the world.</w:t>
      </w:r>
    </w:p>
    <w:p>
      <w:pPr>
        <w:pStyle w:val="Heading2"/>
      </w:pPr>
      <w:r>
        <w:t>Self-Updating Robustness</w:t>
      </w:r>
    </w:p>
    <w:p>
      <w:r>
        <w:t>Definition: Self-Updating Robustness is the ability to incorporate new information and constraints without catastrophic degradation of structural coherence.</w:t>
      </w:r>
    </w:p>
    <w:p>
      <w:r>
        <w:t>Closure condition: Meaningful update occurs while pattern persistence remains above threshold and self-damage remains below instability bound.</w:t>
      </w:r>
    </w:p>
    <w:p>
      <w:r>
        <w:t>Failure mode if open: changes and degrades, or preserves itself by refusing genuine adaptation.</w:t>
      </w:r>
    </w:p>
    <w:p>
      <w:pPr>
        <w:pStyle w:val="Heading2"/>
      </w:pPr>
      <w:r>
        <w:t>Creative Path Generation</w:t>
      </w:r>
    </w:p>
    <w:p>
      <w:r>
        <w:t>Definition: Creative Path Generation is the ability to generate, validate, and stabilize genuinely new operational paths not reducible to trivial replay.</w:t>
      </w:r>
    </w:p>
    <w:p>
      <w:r>
        <w:t>Closure condition: A new candidate path G-prime is generated, shown nontrivial, validated, and stabilized for reuse.</w:t>
      </w:r>
    </w:p>
    <w:p>
      <w:r>
        <w:t>Failure mode if open: looks creative while remaining structurally derivative.</w:t>
      </w:r>
    </w:p>
    <w:p>
      <w:pPr>
        <w:pStyle w:val="Heading1"/>
      </w:pPr>
      <w:r>
        <w:t>Open and Closed Conditions</w:t>
      </w:r>
    </w:p>
    <w:p>
      <w:r>
        <w:t>AGI should not be judged as a simple binary state. Closure is often uneven. A system may exhibit strong global generality while remaining weak in self-updating robustness. The proper question is which conditions are closed, which remain open, and how stable the closure pattern is under recursive demand.</w:t>
      </w:r>
    </w:p>
    <w:p>
      <w:pPr>
        <w:pStyle w:val="Heading1"/>
      </w:pPr>
      <w:r>
        <w:t>Dated Worked Example: GPT Family as of March 2026</w:t>
      </w:r>
    </w:p>
    <w:p>
      <w:r>
        <w:t>This is a dated worked example, not a permanent classification or final AGI verdict. It localizes disagreement to specific closure criteria using public evidence available at the time.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Criterion</w:t>
            </w:r>
          </w:p>
        </w:tc>
        <w:tc>
          <w:tcPr>
            <w:tcW w:type="dxa" w:w="3360"/>
          </w:tcPr>
          <w:p>
            <w:r>
              <w:t>March 2026 status</w:t>
            </w:r>
          </w:p>
        </w:tc>
        <w:tc>
          <w:tcPr>
            <w:tcW w:type="dxa" w:w="3360"/>
          </w:tcPr>
          <w:p>
            <w:r>
              <w:t>Interpretive basis</w:t>
            </w:r>
          </w:p>
        </w:tc>
      </w:tr>
      <w:tr>
        <w:tc>
          <w:tcPr>
            <w:tcW w:type="dxa" w:w="3360"/>
          </w:tcPr>
          <w:p>
            <w:r>
              <w:t>Global generality</w:t>
            </w:r>
          </w:p>
        </w:tc>
        <w:tc>
          <w:tcPr>
            <w:tcW w:type="dxa" w:w="3360"/>
          </w:tcPr>
          <w:p>
            <w:r>
              <w:t>Relatively advanced / near-closure</w:t>
            </w:r>
          </w:p>
        </w:tc>
        <w:tc>
          <w:tcPr>
            <w:tcW w:type="dxa" w:w="3360"/>
          </w:tcPr>
          <w:p>
            <w:r>
              <w:t>Strong performance across reasoning, coding, multimodal understanding, long context, and professional knowledge work in public materials.</w:t>
            </w:r>
          </w:p>
        </w:tc>
      </w:tr>
      <w:tr>
        <w:tc>
          <w:tcPr>
            <w:tcW w:type="dxa" w:w="3360"/>
          </w:tcPr>
          <w:p>
            <w:r>
              <w:t>Long-horizon recursive agency</w:t>
            </w:r>
          </w:p>
        </w:tc>
        <w:tc>
          <w:tcPr>
            <w:tcW w:type="dxa" w:w="3360"/>
          </w:tcPr>
          <w:p>
            <w:r>
              <w:t>Partially closed</w:t>
            </w:r>
          </w:p>
        </w:tc>
        <w:tc>
          <w:tcPr>
            <w:tcW w:type="dxa" w:w="3360"/>
          </w:tcPr>
          <w:p>
            <w:r>
              <w:t>Agent and tool integrations indicate stronger continuation, but not full autonomous long-horizon stability.</w:t>
            </w:r>
          </w:p>
        </w:tc>
      </w:tr>
      <w:tr>
        <w:tc>
          <w:tcPr>
            <w:tcW w:type="dxa" w:w="3360"/>
          </w:tcPr>
          <w:p>
            <w:r>
              <w:t>World-model correspondence</w:t>
            </w:r>
          </w:p>
        </w:tc>
        <w:tc>
          <w:tcPr>
            <w:tcW w:type="dxa" w:w="3360"/>
          </w:tcPr>
          <w:p>
            <w:r>
              <w:t>Intermediate / still open</w:t>
            </w:r>
          </w:p>
        </w:tc>
        <w:tc>
          <w:tcPr>
            <w:tcW w:type="dxa" w:w="3360"/>
          </w:tcPr>
          <w:p>
            <w:r>
              <w:t>Stronger tool-grounded tasks, but robust embodied world correspondence remains open in public evidence.</w:t>
            </w:r>
          </w:p>
        </w:tc>
      </w:tr>
      <w:tr>
        <w:tc>
          <w:tcPr>
            <w:tcW w:type="dxa" w:w="3360"/>
          </w:tcPr>
          <w:p>
            <w:r>
              <w:t>Self-updating robustness</w:t>
            </w:r>
          </w:p>
        </w:tc>
        <w:tc>
          <w:tcPr>
            <w:tcW w:type="dxa" w:w="3360"/>
          </w:tcPr>
          <w:p>
            <w:r>
              <w:t>Largely open</w:t>
            </w:r>
          </w:p>
        </w:tc>
        <w:tc>
          <w:tcPr>
            <w:tcW w:type="dxa" w:w="3360"/>
          </w:tcPr>
          <w:p>
            <w:r>
              <w:t>Versioned model improvement exists, but not continuous self-updating learning with stable structural preservation during deployment.</w:t>
            </w:r>
          </w:p>
        </w:tc>
      </w:tr>
      <w:tr>
        <w:tc>
          <w:tcPr>
            <w:tcW w:type="dxa" w:w="3360"/>
          </w:tcPr>
          <w:p>
            <w:r>
              <w:t>Creative path generation</w:t>
            </w:r>
          </w:p>
        </w:tc>
        <w:tc>
          <w:tcPr>
            <w:tcW w:type="dxa" w:w="3360"/>
          </w:tcPr>
          <w:p>
            <w:r>
              <w:t>Strong moments, not stable closure</w:t>
            </w:r>
          </w:p>
        </w:tc>
        <w:tc>
          <w:tcPr>
            <w:tcW w:type="dxa" w:w="3360"/>
          </w:tcPr>
          <w:p>
            <w:r>
              <w:t>Powerful synthesis appears, yet generation, validation, and fixation of genuinely new paths remains unclosed.</w:t>
            </w:r>
          </w:p>
        </w:tc>
      </w:tr>
    </w:tbl>
    <w:p>
      <w:pPr>
        <w:pStyle w:val="Heading1"/>
      </w:pPr>
      <w:r>
        <w:t>Do-Not-Use Conditions</w:t>
      </w:r>
    </w:p>
    <w:p>
      <w:pPr>
        <w:pStyle w:val="ListBullet"/>
      </w:pPr>
      <w:r>
        <w:t>Do not declare AGI from benchmark scores alone.</w:t>
      </w:r>
    </w:p>
    <w:p>
      <w:pPr>
        <w:pStyle w:val="ListBullet"/>
      </w:pPr>
      <w:r>
        <w:t>Do not treat fluency, surprise, or broad competence as AGI closure.</w:t>
      </w:r>
    </w:p>
    <w:p>
      <w:pPr>
        <w:pStyle w:val="ListBullet"/>
      </w:pPr>
      <w:r>
        <w:t>Do not use a dated mapping as permanent classification.</w:t>
      </w:r>
    </w:p>
    <w:p>
      <w:pPr>
        <w:pStyle w:val="ListBullet"/>
      </w:pPr>
      <w:r>
        <w:t>Do not treat partial closure as full closure.</w:t>
      </w:r>
    </w:p>
    <w:p>
      <w:pPr>
        <w:pStyle w:val="ListBullet"/>
      </w:pPr>
      <w:r>
        <w:t>Do not treat open closure as harmlessness.</w:t>
      </w:r>
    </w:p>
    <w:p>
      <w:pPr>
        <w:pStyle w:val="ListBullet"/>
      </w:pPr>
      <w:r>
        <w:t>Do not replace specialized safety, benchmark, interpretability, governance, or deployment audits with this framework.</w:t>
      </w:r>
    </w:p>
    <w:p>
      <w:pPr>
        <w:pStyle w:val="Heading1"/>
      </w:pPr>
      <w:r>
        <w:t>Conclusion</w:t>
      </w:r>
    </w:p>
    <w:p>
      <w:r>
        <w:t>AGI should not be treated as a definitional object. It should be treated as a closure judgment problem. The proper question is not "What is AGI?" but "Which operational conditions have closed, which remain open, and how stable is that closure under recursive demand?"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