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LÓGICO (describe el “qué”)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conceptos sobre los que hay que almacenar información se llaman ENTIDADES.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Estas entidades tienen ATRIBUTOS.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entidades se conectan mediante RELACIONES.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especifica la clave principal para cada entidad.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especifican las claves externas, que identifican la relación entre las distintas entidades.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Explica el negocio.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independiente de la implementación.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Responsable: el analista.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FÍSICO (describe el “cómo”)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modelo de datos físico representa cómo se construirá el modelo en la base de datos.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Muestra todas las estructuras de tablas, incluídos el nombre de columna, las restricciones de columna, la clave principal, la clave externa y las relaciones entre las tablas.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Puede diferir de un motor de bases de datos a otro.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Explica técnicamente cómo se van a almacenar los datos.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Explica la implementación en el sistema de gestión de bases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Responsable: administrador de bases de datos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PASOS PARA EL DISEÑO DEL MODELO DE DATOS FÍSICOS: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Convertir entidades en tablas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Convertir relaciones en claves externas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Convertir atributos en columnas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Modificar el modelo de datos físicos en función de las restricciones/requisitos físicos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Las bases de datos se implementan bajo una arquitectura cliente-servidor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servidor va a ser el motor de base de datos, en nuestro caso MySQL Server.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Nuestro cliente van a ser las aplicaciones que consulten o almacenen los datos. Por ejemplo, MySQL Workbench.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PREGUNTAR CÓMO ES QUE EN LA ESTRUCTURA CLIENTE - SERVIDOR, NUESTRO CLIENTE PUEDE SER EL QUE ALMACENA, CREÍ QUE ERA SOLO EL QUE CONSULTABA, Y QUE EL QUE ALMACENABA ERA EL SERVIDOR, QUIEN ACTÚA COMO DEPÓSITO DE DATOS.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PREGUNTAR A QUÉ REFIERE CUANDO HABLA DE NORMALIZACIÓN Y DESNORMALIZACIÓN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