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80"/>
        <w:jc w:val="center"/>
      </w:pPr>
      <w:r>
        <w:rPr>
          <w:rFonts w:ascii="Times New Roman" w:cs="Times New Roman" w:eastAsia="Times New Roman" w:hAnsi="Times New Roman"/>
          <w:b/>
          <w:bCs/>
          <w:color w:val="000000"/>
          <w:sz w:val="24"/>
          <w:szCs w:val="24"/>
        </w:rPr>
        <w:t xml:space="preserve">ГУАП</w:t>
      </w:r>
    </w:p>
    <w:p>
      <w:pPr>
        <w:spacing w:after="80" w:before="80"/>
        <w:jc w:val="center"/>
      </w:pPr>
      <w:r>
        <w:rPr>
          <w:rFonts w:ascii="Times New Roman" w:cs="Times New Roman" w:eastAsia="Times New Roman" w:hAnsi="Times New Roman"/>
          <w:b/>
          <w:bCs/>
          <w:color w:val="000000"/>
          <w:sz w:val="24"/>
          <w:szCs w:val="24"/>
        </w:rPr>
        <w:t xml:space="preserve">КАФЕДРА № 61</w:t>
      </w:r>
    </w:p>
    <w:p>
      <w:r>
        <w:rPr>
          <w:sz w:val="24"/>
          <w:szCs w:val="24"/>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none" w:color="FFFFFF" w:sz="0"/>
              <w:left w:val="none" w:color="FFFFFF" w:sz="0"/>
              <w:bottom w:val="none" w:color="FFFFFF" w:sz="0"/>
              <w:right w:val="none" w:color="FFFFFF" w:sz="0"/>
            </w:tcBorders>
          </w:tcPr>
          <w:p>
            <w:r>
              <w:rPr>
                <w:rFonts w:ascii="Times New Roman" w:cs="Times New Roman" w:eastAsia="Times New Roman" w:hAnsi="Times New Roman"/>
                <w:b/>
                <w:bCs/>
                <w:sz w:val="24"/>
                <w:szCs w:val="24"/>
              </w:rPr>
              <w:t xml:space="preserve">ОТЧЕТ</w:t>
            </w:r>
          </w:p>
        </w:tc>
        <w:tc>
          <w:tcPr>
            <w:tcW w:type="dxa" w:w="4513"/>
            <w:tcBorders>
              <w:top w:val="none" w:color="FFFFFF" w:sz="0"/>
              <w:left w:val="none" w:color="FFFFFF" w:sz="0"/>
              <w:bottom w:val="none" w:color="FFFFFF" w:sz="0"/>
              <w:right w:val="none" w:color="FFFFFF" w:sz="0"/>
            </w:tcBorders>
          </w:tcPr>
          <w:p>
            <w:r>
              <w:rPr>
                <w:rFonts w:ascii="Times New Roman" w:cs="Times New Roman" w:eastAsia="Times New Roman" w:hAnsi="Times New Roman"/>
                <w:sz w:val="22"/>
                <w:szCs w:val="22"/>
              </w:rPr>
              <w:t xml:space="preserve">ЗАЩИЩЕН С ОЦЕНКОЙ</w:t>
            </w:r>
          </w:p>
        </w:tc>
      </w:tr>
      <w:tr>
        <w:tc>
          <w:tcPr>
            <w:tcW w:type="dxa" w:w="4513"/>
            <w:tcBorders>
              <w:top w:val="none" w:color="FFFFFF" w:sz="0"/>
              <w:left w:val="none" w:color="FFFFFF" w:sz="0"/>
              <w:bottom w:val="none" w:color="FFFFFF" w:sz="0"/>
              <w:right w:val="none" w:color="FFFFFF" w:sz="0"/>
            </w:tcBorders>
          </w:tcPr>
          <w:p>
            <w:r>
              <w:rPr>
                <w:sz w:val="24"/>
                <w:szCs w:val="24"/>
              </w:rPr>
              <w:t xml:space="preserve"/>
            </w:r>
          </w:p>
        </w:tc>
        <w:tc>
          <w:tcPr>
            <w:tcW w:type="dxa" w:w="4513"/>
            <w:tcBorders>
              <w:top w:val="none" w:color="FFFFFF" w:sz="0"/>
              <w:left w:val="none" w:color="FFFFFF" w:sz="0"/>
              <w:bottom w:val="none" w:color="FFFFFF" w:sz="0"/>
              <w:right w:val="none" w:color="FFFFFF" w:sz="0"/>
            </w:tcBorders>
          </w:tcPr>
          <w:p>
            <w:r>
              <w:rPr>
                <w:rFonts w:ascii="Times New Roman" w:cs="Times New Roman" w:eastAsia="Times New Roman" w:hAnsi="Times New Roman"/>
                <w:sz w:val="22"/>
                <w:szCs w:val="22"/>
              </w:rPr>
              <w:t xml:space="preserve">ПРЕПОДАВАТЕЛЬ</w:t>
            </w:r>
          </w:p>
        </w:tc>
      </w:tr>
      <w:tr>
        <w:tc>
          <w:tcPr>
            <w:tcW w:type="dxa" w:w="4513"/>
            <w:tcBorders>
              <w:top w:val="none" w:color="FFFFFF" w:sz="0"/>
              <w:left w:val="none" w:color="FFFFFF" w:sz="0"/>
              <w:bottom w:val="none" w:color="FFFFFF" w:sz="0"/>
              <w:right w:val="none" w:color="FFFFFF" w:sz="0"/>
            </w:tcBorders>
          </w:tcPr>
          <w:p>
            <w:r>
              <w:rPr>
                <w:sz w:val="24"/>
                <w:szCs w:val="24"/>
              </w:rPr>
              <w:t xml:space="preserve"/>
            </w:r>
          </w:p>
        </w:tc>
        <w:tc>
          <w:tcPr>
            <w:tcW w:type="dxa" w:w="4513"/>
            <w:tcBorders>
              <w:top w:val="none" w:color="FFFFFF" w:sz="0"/>
              <w:left w:val="none" w:color="FFFFFF" w:sz="0"/>
              <w:bottom w:val="none" w:color="FFFFFF" w:sz="0"/>
              <w:right w:val="none" w:color="FFFFFF" w:sz="0"/>
            </w:tcBorders>
          </w:tcPr>
          <w:p>
            <w:r>
              <w:rPr>
                <w:rFonts w:ascii="Times New Roman" w:cs="Times New Roman" w:eastAsia="Times New Roman" w:hAnsi="Times New Roman"/>
                <w:sz w:val="22"/>
                <w:szCs w:val="22"/>
              </w:rPr>
              <w:t xml:space="preserve">доцент                          М. Л. Бурова</w:t>
            </w:r>
          </w:p>
        </w:tc>
      </w:tr>
      <w:tr>
        <w:tc>
          <w:tcPr>
            <w:tcW w:type="dxa" w:w="4513"/>
            <w:tcBorders>
              <w:top w:val="none" w:color="FFFFFF" w:sz="0"/>
              <w:left w:val="none" w:color="FFFFFF" w:sz="0"/>
              <w:bottom w:val="none" w:color="FFFFFF" w:sz="0"/>
              <w:right w:val="none" w:color="FFFFFF" w:sz="0"/>
            </w:tcBorders>
          </w:tcPr>
          <w:p>
            <w:r>
              <w:rPr>
                <w:sz w:val="24"/>
                <w:szCs w:val="24"/>
              </w:rPr>
              <w:t xml:space="preserve"/>
            </w:r>
          </w:p>
        </w:tc>
        <w:tc>
          <w:tcPr>
            <w:tcW w:type="dxa" w:w="4513"/>
            <w:tcBorders>
              <w:top w:val="none" w:color="FFFFFF" w:sz="0"/>
              <w:left w:val="none" w:color="FFFFFF" w:sz="0"/>
              <w:bottom w:val="none" w:color="FFFFFF" w:sz="0"/>
              <w:right w:val="none" w:color="FFFFFF" w:sz="0"/>
            </w:tcBorders>
          </w:tcPr>
          <w:p>
            <w:r>
              <w:rPr>
                <w:rFonts w:ascii="Times New Roman" w:cs="Times New Roman" w:eastAsia="Times New Roman" w:hAnsi="Times New Roman"/>
                <w:color w:val="888888"/>
                <w:sz w:val="18"/>
                <w:szCs w:val="18"/>
              </w:rPr>
              <w:t xml:space="preserve">должность, уч. степень, звание          инициалы, фамилия</w:t>
            </w:r>
          </w:p>
        </w:tc>
      </w:tr>
    </w:tbl>
    <w:p>
      <w:r>
        <w:rPr>
          <w:sz w:val="24"/>
          <w:szCs w:val="24"/>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AAAAAA" w:sz="1"/>
              <w:left w:val="single" w:color="AAAAAA" w:sz="1"/>
              <w:bottom w:val="single" w:color="AAAAAA" w:sz="1"/>
              <w:right w:val="single" w:color="AAAAAA" w:sz="1"/>
            </w:tcBorders>
            <w:shd w:fill="E2EFDA" w:val="clear"/>
            <w:tcMar>
              <w:top w:type="dxa" w:w="120"/>
              <w:left w:type="dxa" w:w="200"/>
              <w:bottom w:type="dxa" w:w="120"/>
              <w:right w:type="dxa" w:w="200"/>
            </w:tcMar>
          </w:tcPr>
          <w:p>
            <w:pPr>
              <w:jc w:val="center"/>
            </w:pPr>
            <w:r>
              <w:rPr>
                <w:rFonts w:ascii="Times New Roman" w:cs="Times New Roman" w:eastAsia="Times New Roman" w:hAnsi="Times New Roman"/>
                <w:b/>
                <w:bCs/>
                <w:sz w:val="28"/>
                <w:szCs w:val="28"/>
              </w:rPr>
              <w:t xml:space="preserve">ОТЧЕТ О ТВОРЧЕСКОМ ЗАДАНИИ</w:t>
            </w:r>
          </w:p>
          <w:p>
            <w:pPr>
              <w:jc w:val="center"/>
            </w:pPr>
            <w:r>
              <w:rPr>
                <w:rFonts w:ascii="Times New Roman" w:cs="Times New Roman" w:eastAsia="Times New Roman" w:hAnsi="Times New Roman"/>
                <w:b/>
                <w:bCs/>
                <w:sz w:val="26"/>
                <w:szCs w:val="26"/>
              </w:rPr>
              <w:t xml:space="preserve">АНАЛИЗ СТАТЬИ</w:t>
            </w:r>
          </w:p>
          <w:p>
            <w:pPr>
              <w:jc w:val="center"/>
            </w:pPr>
            <w:r>
              <w:rPr>
                <w:rFonts w:ascii="Times New Roman" w:cs="Times New Roman" w:eastAsia="Times New Roman" w:hAnsi="Times New Roman"/>
                <w:sz w:val="24"/>
                <w:szCs w:val="24"/>
              </w:rPr>
              <w:t xml:space="preserve">по курсу: ФИЛОСОФИЯ</w:t>
            </w:r>
          </w:p>
        </w:tc>
      </w:tr>
    </w:tbl>
    <w:p>
      <w:r>
        <w:rPr>
          <w:sz w:val="24"/>
          <w:szCs w:val="24"/>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2000"/>
        <w:gridCol w:w="3526"/>
      </w:tblGrid>
      <w:tr>
        <w:tc>
          <w:tcPr>
            <w:tcW w:type="dxa" w:w="2000"/>
            <w:tcBorders>
              <w:top w:val="none" w:color="FFFFFF" w:sz="0"/>
              <w:left w:val="none" w:color="FFFFFF" w:sz="0"/>
              <w:bottom w:val="none" w:color="FFFFFF" w:sz="0"/>
              <w:right w:val="none" w:color="FFFFFF" w:sz="0"/>
            </w:tcBorders>
          </w:tcPr>
          <w:p>
            <w:pPr>
              <w:spacing w:after="80" w:before="80"/>
              <w:jc w:val="left"/>
            </w:pPr>
            <w:r>
              <w:rPr>
                <w:rFonts w:ascii="Times New Roman" w:cs="Times New Roman" w:eastAsia="Times New Roman" w:hAnsi="Times New Roman"/>
                <w:b w:val="false"/>
                <w:bCs w:val="false"/>
                <w:color w:val="000000"/>
                <w:sz w:val="24"/>
                <w:szCs w:val="24"/>
              </w:rPr>
              <w:t xml:space="preserve">СТУДЕНТ гр. №</w:t>
            </w:r>
          </w:p>
        </w:tc>
        <w:tc>
          <w:tcPr>
            <w:tcW w:type="dxa" w:w="1500"/>
            <w:tcBorders>
              <w:top w:val="none" w:color="FFFFFF" w:sz="0"/>
              <w:left w:val="none" w:color="FFFFFF" w:sz="0"/>
              <w:bottom w:val="single" w:color="AAAAAA" w:sz="1"/>
              <w:right w:val="none" w:color="FFFFFF" w:sz="0"/>
            </w:tcBorders>
          </w:tcPr>
          <w:p>
            <w:pPr>
              <w:spacing w:after="80" w:before="80"/>
              <w:jc w:val="center"/>
            </w:pPr>
            <w:r>
              <w:rPr>
                <w:rFonts w:ascii="Times New Roman" w:cs="Times New Roman" w:eastAsia="Times New Roman" w:hAnsi="Times New Roman"/>
                <w:b w:val="false"/>
                <w:bCs w:val="false"/>
                <w:color w:val="000000"/>
                <w:sz w:val="24"/>
                <w:szCs w:val="24"/>
              </w:rPr>
              <w:t xml:space="preserve">_______</w:t>
            </w:r>
          </w:p>
        </w:tc>
        <w:tc>
          <w:tcPr>
            <w:tcW w:type="dxa" w:w="2000"/>
            <w:tcBorders>
              <w:top w:val="none" w:color="FFFFFF" w:sz="0"/>
              <w:left w:val="none" w:color="FFFFFF" w:sz="0"/>
              <w:bottom w:val="single" w:color="AAAAAA" w:sz="1"/>
              <w:right w:val="none" w:color="FFFFFF" w:sz="0"/>
            </w:tcBorders>
          </w:tcPr>
          <w:p>
            <w:pPr>
              <w:spacing w:after="80" w:before="80"/>
              <w:jc w:val="center"/>
            </w:pPr>
            <w:r>
              <w:rPr>
                <w:rFonts w:ascii="Times New Roman" w:cs="Times New Roman" w:eastAsia="Times New Roman" w:hAnsi="Times New Roman"/>
                <w:b w:val="false"/>
                <w:bCs w:val="false"/>
                <w:color w:val="000000"/>
                <w:sz w:val="24"/>
                <w:szCs w:val="24"/>
              </w:rPr>
              <w:t xml:space="preserve">подпись, дата</w:t>
            </w:r>
          </w:p>
        </w:tc>
        <w:tc>
          <w:tcPr>
            <w:tcW w:type="dxa" w:w="3526"/>
            <w:tcBorders>
              <w:top w:val="none" w:color="FFFFFF" w:sz="0"/>
              <w:left w:val="none" w:color="FFFFFF" w:sz="0"/>
              <w:bottom w:val="single" w:color="AAAAAA" w:sz="1"/>
              <w:right w:val="none" w:color="FFFFFF" w:sz="0"/>
            </w:tcBorders>
          </w:tcPr>
          <w:p>
            <w:pPr>
              <w:spacing w:after="80" w:before="80"/>
              <w:jc w:val="center"/>
            </w:pPr>
            <w:r>
              <w:rPr>
                <w:rFonts w:ascii="Times New Roman" w:cs="Times New Roman" w:eastAsia="Times New Roman" w:hAnsi="Times New Roman"/>
                <w:b w:val="false"/>
                <w:bCs w:val="false"/>
                <w:color w:val="000000"/>
                <w:sz w:val="24"/>
                <w:szCs w:val="24"/>
              </w:rPr>
              <w:t xml:space="preserve">инициалы, фамилия</w:t>
            </w:r>
          </w:p>
        </w:tc>
      </w:tr>
    </w:tbl>
    <w:p>
      <w:r>
        <w:rPr>
          <w:sz w:val="24"/>
          <w:szCs w:val="24"/>
        </w:rPr>
        <w:t xml:space="preserve"/>
      </w:r>
    </w:p>
    <w:p>
      <w:pPr>
        <w:spacing w:after="80" w:before="80"/>
        <w:jc w:val="center"/>
      </w:pPr>
      <w:r>
        <w:rPr>
          <w:rFonts w:ascii="Times New Roman" w:cs="Times New Roman" w:eastAsia="Times New Roman" w:hAnsi="Times New Roman"/>
          <w:b w:val="false"/>
          <w:bCs w:val="false"/>
          <w:color w:val="000000"/>
          <w:sz w:val="24"/>
          <w:szCs w:val="24"/>
        </w:rPr>
        <w:t xml:space="preserve">Санкт-Петербург 2026</w:t>
      </w:r>
    </w:p>
    <w:p>
      <w:r>
        <w:rPr>
          <w:sz w:val="24"/>
          <w:szCs w:val="24"/>
        </w:rPr>
        <w:t xml:space="preserve"/>
      </w:r>
    </w:p>
    <w:p>
      <w:r>
        <w:br w:type="page"/>
      </w:r>
    </w:p>
    <w:p>
      <w:pPr>
        <w:spacing w:after="80" w:before="80"/>
        <w:jc w:val="left"/>
      </w:pPr>
      <w:r>
        <w:rPr>
          <w:rFonts w:ascii="Times New Roman" w:cs="Times New Roman" w:eastAsia="Times New Roman" w:hAnsi="Times New Roman"/>
          <w:b/>
          <w:bCs/>
          <w:color w:val="000000"/>
          <w:sz w:val="24"/>
          <w:szCs w:val="24"/>
        </w:rPr>
        <w:t xml:space="preserve">Статья: Кошовец О.Б. «Экономическое знание и власть: от научной объективности к технологиям имперсональности и социальному конструированию»</w:t>
      </w:r>
    </w:p>
    <w:p>
      <w:r>
        <w:rPr>
          <w:sz w:val="24"/>
          <w:szCs w:val="24"/>
        </w:rPr>
        <w:t xml:space="preserve"/>
      </w:r>
    </w:p>
    <w:p>
      <w:pPr>
        <w:spacing w:after="80" w:before="80"/>
        <w:jc w:val="left"/>
      </w:pPr>
      <w:r>
        <w:rPr>
          <w:rFonts w:ascii="Times New Roman" w:cs="Times New Roman" w:eastAsia="Times New Roman" w:hAnsi="Times New Roman"/>
          <w:b w:val="false"/>
          <w:bCs w:val="false"/>
          <w:color w:val="000000"/>
          <w:sz w:val="24"/>
          <w:szCs w:val="24"/>
        </w:rPr>
        <w:t xml:space="preserve">Вопросы: Кто должен конструировать социальную реальность – бюрократы, экономисты, учёные, инженеры? Можно ли считать ИИ эффективным менеджером?</w:t>
      </w:r>
    </w:p>
    <w:p>
      <w:r>
        <w:rPr>
          <w:sz w:val="24"/>
          <w:szCs w:val="24"/>
        </w:rPr>
        <w:t xml:space="preserve"/>
      </w:r>
    </w:p>
    <w:p>
      <w:pPr>
        <w:spacing w:after="80" w:before="80"/>
        <w:jc w:val="left"/>
      </w:pPr>
      <w:r>
        <w:rPr>
          <w:rFonts w:ascii="Times New Roman" w:cs="Times New Roman" w:eastAsia="Times New Roman" w:hAnsi="Times New Roman"/>
          <w:b w:val="false"/>
          <w:bCs w:val="false"/>
          <w:color w:val="000000"/>
          <w:sz w:val="24"/>
          <w:szCs w:val="24"/>
        </w:rPr>
        <w:t xml:space="preserve">В статье автор исследует, каким образом экономическое знание приобретает статус объективного и нейтрального, превращаясь при этом в инструмент власти и управления. Кошовец показывает, что претензия экономики на научную объективность исторически формировалась параллельно с её политическим влиянием: экономисты, апеллируя к «законам рынка» и математическим моделям, легитимировали решения, затрагивающие всё общество.</w:t>
      </w:r>
    </w:p>
    <w:p>
      <w:r>
        <w:rPr>
          <w:sz w:val="24"/>
          <w:szCs w:val="24"/>
        </w:rPr>
        <w:t xml:space="preserve"/>
      </w:r>
    </w:p>
    <w:p>
      <w:pPr>
        <w:spacing w:after="80" w:before="80"/>
        <w:jc w:val="left"/>
      </w:pPr>
      <w:r>
        <w:rPr>
          <w:rFonts w:ascii="Times New Roman" w:cs="Times New Roman" w:eastAsia="Times New Roman" w:hAnsi="Times New Roman"/>
          <w:b w:val="false"/>
          <w:bCs w:val="false"/>
          <w:color w:val="000000"/>
          <w:sz w:val="24"/>
          <w:szCs w:val="24"/>
        </w:rPr>
        <w:t xml:space="preserve">Ключевое понятие статьи — «технологии имперсональности»: это механизмы, при помощи которых знание представляется безличным и не зависящим от конкретного субъекта. Статистика, индексы, рейтинги — всё это создаёт иллюзию, что решения принимаются «по науке», а не людьми с определёнными интересами. Тем самым ответственность за последствия оказывается размытой или вовсе снятой.</w:t>
      </w:r>
    </w:p>
    <w:p>
      <w:r>
        <w:rPr>
          <w:sz w:val="24"/>
          <w:szCs w:val="24"/>
        </w:rPr>
        <w:t xml:space="preserve"/>
      </w:r>
    </w:p>
    <w:p>
      <w:pPr>
        <w:spacing w:after="80" w:before="80"/>
        <w:jc w:val="left"/>
      </w:pPr>
      <w:r>
        <w:rPr>
          <w:rFonts w:ascii="Times New Roman" w:cs="Times New Roman" w:eastAsia="Times New Roman" w:hAnsi="Times New Roman"/>
          <w:b w:val="false"/>
          <w:bCs w:val="false"/>
          <w:color w:val="000000"/>
          <w:sz w:val="24"/>
          <w:szCs w:val="24"/>
        </w:rPr>
        <w:t xml:space="preserve">Автор также обращается к идее перформативности: экономические теории не просто описывают реальность, но и активно её формируют. Вводя определённые модели и категории, экономисты конструируют социальную реальность — рынки, стоимости, риски. В итоге граница между описанием и предписанием оказывается условной.</w:t>
      </w:r>
    </w:p>
    <w:p>
      <w:r>
        <w:rPr>
          <w:sz w:val="24"/>
          <w:szCs w:val="24"/>
        </w:rPr>
        <w:t xml:space="preserve"/>
      </w:r>
    </w:p>
    <w:p>
      <w:pPr>
        <w:spacing w:after="100" w:before="200"/>
        <w:jc w:val="left"/>
      </w:pPr>
      <w:r>
        <w:rPr>
          <w:rFonts w:ascii="Times New Roman" w:cs="Times New Roman" w:eastAsia="Times New Roman" w:hAnsi="Times New Roman"/>
          <w:b/>
          <w:bCs/>
          <w:sz w:val="24"/>
          <w:szCs w:val="24"/>
        </w:rPr>
        <w:t xml:space="preserve">Гносеологические, моральные, социально-политические концепции и их представители</w:t>
      </w:r>
    </w:p>
    <w:p>
      <w:r>
        <w:rPr>
          <w:sz w:val="24"/>
          <w:szCs w:val="24"/>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2100"/>
        <w:gridCol w:w="4326"/>
      </w:tblGrid>
      <w:tr>
        <w:tc>
          <w:tcPr>
            <w:tcW w:type="dxa" w:w="2600"/>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tcPr>
          <w:p>
            <w:r>
              <w:rPr>
                <w:rFonts w:ascii="Times New Roman" w:cs="Times New Roman" w:eastAsia="Times New Roman" w:hAnsi="Times New Roman"/>
                <w:b/>
                <w:bCs/>
                <w:sz w:val="22"/>
                <w:szCs w:val="22"/>
              </w:rPr>
              <w:t xml:space="preserve">Концепция</w:t>
            </w:r>
          </w:p>
        </w:tc>
        <w:tc>
          <w:tcPr>
            <w:tcW w:type="dxa" w:w="2100"/>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tcPr>
          <w:p>
            <w:r>
              <w:rPr>
                <w:rFonts w:ascii="Times New Roman" w:cs="Times New Roman" w:eastAsia="Times New Roman" w:hAnsi="Times New Roman"/>
                <w:b/>
                <w:bCs/>
                <w:sz w:val="22"/>
                <w:szCs w:val="22"/>
              </w:rPr>
              <w:t xml:space="preserve">Представитель(и)</w:t>
            </w:r>
          </w:p>
        </w:tc>
        <w:tc>
          <w:tcPr>
            <w:tcW w:type="dxa" w:w="4326"/>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tcPr>
          <w:p>
            <w:r>
              <w:rPr>
                <w:rFonts w:ascii="Times New Roman" w:cs="Times New Roman" w:eastAsia="Times New Roman" w:hAnsi="Times New Roman"/>
                <w:b/>
                <w:bCs/>
                <w:sz w:val="22"/>
                <w:szCs w:val="22"/>
              </w:rPr>
              <w:t xml:space="preserve">Смысл концепции в статье</w:t>
            </w:r>
          </w:p>
        </w:tc>
      </w:tr>
      <w:tr>
        <w:tc>
          <w:tcPr>
            <w:tcW w:type="dxa" w:w="2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2"/>
                <w:szCs w:val="22"/>
              </w:rPr>
              <w:t xml:space="preserve">Социальное конструирование реальности</w:t>
            </w:r>
          </w:p>
        </w:tc>
        <w:tc>
          <w:tcPr>
            <w:tcW w:type="dxa" w:w="21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2"/>
                <w:szCs w:val="22"/>
              </w:rPr>
              <w:t xml:space="preserve">П. Бергер, Т. Лукман</w:t>
            </w:r>
          </w:p>
        </w:tc>
        <w:tc>
          <w:tcPr>
            <w:tcW w:type="dxa" w:w="4326"/>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2"/>
                <w:szCs w:val="22"/>
              </w:rPr>
              <w:t xml:space="preserve">Реальность не дана в готовом виде — она создаётся людьми в ходе совместной деятельности. Экономические факты и нормы суть результат социальных договорённостей, а не объективных законов природы.</w:t>
            </w:r>
          </w:p>
        </w:tc>
      </w:tr>
      <w:tr>
        <w:tc>
          <w:tcPr>
            <w:tcW w:type="dxa" w:w="2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2"/>
                <w:szCs w:val="22"/>
              </w:rPr>
              <w:t xml:space="preserve">Власть/знание</w:t>
            </w:r>
          </w:p>
        </w:tc>
        <w:tc>
          <w:tcPr>
            <w:tcW w:type="dxa" w:w="21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2"/>
                <w:szCs w:val="22"/>
              </w:rPr>
              <w:t xml:space="preserve">М. Фуко</w:t>
            </w:r>
          </w:p>
        </w:tc>
        <w:tc>
          <w:tcPr>
            <w:tcW w:type="dxa" w:w="4326"/>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2"/>
                <w:szCs w:val="22"/>
              </w:rPr>
              <w:t xml:space="preserve">Знание и власть неотделимы: тот, кто контролирует производство «истины», получает инструмент управления обществом. Экономическая наука — один из таких инструментов.</w:t>
            </w:r>
          </w:p>
        </w:tc>
      </w:tr>
      <w:tr>
        <w:tc>
          <w:tcPr>
            <w:tcW w:type="dxa" w:w="2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2"/>
                <w:szCs w:val="22"/>
              </w:rPr>
              <w:t xml:space="preserve">Перформативность экономики</w:t>
            </w:r>
          </w:p>
        </w:tc>
        <w:tc>
          <w:tcPr>
            <w:tcW w:type="dxa" w:w="21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2"/>
                <w:szCs w:val="22"/>
              </w:rPr>
              <w:t xml:space="preserve">М. Каллон, Д. Маккензи</w:t>
            </w:r>
          </w:p>
        </w:tc>
        <w:tc>
          <w:tcPr>
            <w:tcW w:type="dxa" w:w="4326"/>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2"/>
                <w:szCs w:val="22"/>
              </w:rPr>
              <w:t xml:space="preserve">Экономические теории не просто описывают рынки — они их формируют. Модели становятся технологиями управления реальностью, а не только её отражением.</w:t>
            </w:r>
          </w:p>
        </w:tc>
      </w:tr>
      <w:tr>
        <w:tc>
          <w:tcPr>
            <w:tcW w:type="dxa" w:w="2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2"/>
                <w:szCs w:val="22"/>
              </w:rPr>
              <w:t xml:space="preserve">Технократия и экспертократия</w:t>
            </w:r>
          </w:p>
        </w:tc>
        <w:tc>
          <w:tcPr>
            <w:tcW w:type="dxa" w:w="21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2"/>
                <w:szCs w:val="22"/>
              </w:rPr>
              <w:t xml:space="preserve">Т. Веблен, Д. Белл</w:t>
            </w:r>
          </w:p>
        </w:tc>
        <w:tc>
          <w:tcPr>
            <w:tcW w:type="dxa" w:w="4326"/>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2"/>
                <w:szCs w:val="22"/>
              </w:rPr>
              <w:t xml:space="preserve">Управление обществом должно строиться на экспертном знании. Экономисты позиционируют себя как наиболее компетентных «архитекторов» социальной реальности.</w:t>
            </w:r>
          </w:p>
        </w:tc>
      </w:tr>
      <w:tr>
        <w:tc>
          <w:tcPr>
            <w:tcW w:type="dxa" w:w="2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2"/>
                <w:szCs w:val="22"/>
              </w:rPr>
              <w:t xml:space="preserve">Критика позитивизма (теория парадигм)</w:t>
            </w:r>
          </w:p>
        </w:tc>
        <w:tc>
          <w:tcPr>
            <w:tcW w:type="dxa" w:w="21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2"/>
                <w:szCs w:val="22"/>
              </w:rPr>
              <w:t xml:space="preserve">Т. Кун</w:t>
            </w:r>
          </w:p>
        </w:tc>
        <w:tc>
          <w:tcPr>
            <w:tcW w:type="dxa" w:w="4326"/>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2"/>
                <w:szCs w:val="22"/>
              </w:rPr>
              <w:t xml:space="preserve">Объективность науки исторична и социально обусловлена. Смена экономических парадигм (кейнсианство → монетаризм) отражает не только научный прогресс, но и политические интересы.</w:t>
            </w:r>
          </w:p>
        </w:tc>
      </w:tr>
    </w:tbl>
    <w:p>
      <w:r>
        <w:rPr>
          <w:sz w:val="24"/>
          <w:szCs w:val="24"/>
        </w:rPr>
        <w:t xml:space="preserve"/>
      </w:r>
    </w:p>
    <w:p>
      <w:pPr>
        <w:spacing w:after="100" w:before="200"/>
        <w:jc w:val="left"/>
      </w:pPr>
      <w:r>
        <w:rPr>
          <w:rFonts w:ascii="Times New Roman" w:cs="Times New Roman" w:eastAsia="Times New Roman" w:hAnsi="Times New Roman"/>
          <w:b/>
          <w:bCs/>
          <w:sz w:val="24"/>
          <w:szCs w:val="24"/>
        </w:rPr>
        <w:t xml:space="preserve">Основные проблемы, поставленные в статье:</w:t>
      </w:r>
    </w:p>
    <w:p>
      <w:pPr>
        <w:pStyle w:val="ListParagraph"/>
        <w:numPr>
          <w:ilvl w:val="0"/>
          <w:numId w:val="2"/>
        </w:numPr>
        <w:spacing w:after="60" w:before="60"/>
      </w:pPr>
      <w:r>
        <w:rPr>
          <w:rFonts w:ascii="Times New Roman" w:cs="Times New Roman" w:eastAsia="Times New Roman" w:hAnsi="Times New Roman"/>
          <w:sz w:val="24"/>
          <w:szCs w:val="24"/>
        </w:rPr>
        <w:t xml:space="preserve">Проблема объективности экономического знания. Может ли экономическая наука быть по-настоящему нейтральной, или она всегда отражает интересы определённых социальных групп и воспроизводит властные отношения?</w:t>
      </w:r>
    </w:p>
    <w:p>
      <w:pPr>
        <w:pStyle w:val="ListParagraph"/>
        <w:numPr>
          <w:ilvl w:val="0"/>
          <w:numId w:val="2"/>
        </w:numPr>
        <w:spacing w:after="60" w:before="60"/>
      </w:pPr>
      <w:r>
        <w:rPr>
          <w:rFonts w:ascii="Times New Roman" w:cs="Times New Roman" w:eastAsia="Times New Roman" w:hAnsi="Times New Roman"/>
          <w:sz w:val="24"/>
          <w:szCs w:val="24"/>
        </w:rPr>
        <w:t xml:space="preserve">Проблема легитимации власти через знание. Каким образом экономисты, апеллируя к языку науки и математическим моделям, получают право определять политику государств и формировать жизнь общества?</w:t>
      </w:r>
    </w:p>
    <w:p>
      <w:pPr>
        <w:pStyle w:val="ListParagraph"/>
        <w:numPr>
          <w:ilvl w:val="0"/>
          <w:numId w:val="2"/>
        </w:numPr>
        <w:spacing w:after="60" w:before="60"/>
      </w:pPr>
      <w:r>
        <w:rPr>
          <w:rFonts w:ascii="Times New Roman" w:cs="Times New Roman" w:eastAsia="Times New Roman" w:hAnsi="Times New Roman"/>
          <w:sz w:val="24"/>
          <w:szCs w:val="24"/>
        </w:rPr>
        <w:t xml:space="preserve">Проблема имперсональности. Статистика, рейтинги и индексы создают иллюзию безличных, «объективных» решений. Однако за ними всегда стоит субъект с конкретными интересами — и именно этот субъект оказывается скрытым.</w:t>
      </w:r>
    </w:p>
    <w:p>
      <w:pPr>
        <w:pStyle w:val="ListParagraph"/>
        <w:numPr>
          <w:ilvl w:val="0"/>
          <w:numId w:val="2"/>
        </w:numPr>
        <w:spacing w:after="60" w:before="60"/>
      </w:pPr>
      <w:r>
        <w:rPr>
          <w:rFonts w:ascii="Times New Roman" w:cs="Times New Roman" w:eastAsia="Times New Roman" w:hAnsi="Times New Roman"/>
          <w:sz w:val="24"/>
          <w:szCs w:val="24"/>
        </w:rPr>
        <w:t xml:space="preserve">Проблема социального конструирования реальности. Экономические модели не просто описывают рынок — они его формируют. Граница между описанием и предписанием в экономической науке условна, что делает «объективные» теории инструментами управления.</w:t>
      </w:r>
    </w:p>
    <w:p>
      <w:pPr>
        <w:pStyle w:val="ListParagraph"/>
        <w:numPr>
          <w:ilvl w:val="0"/>
          <w:numId w:val="2"/>
        </w:numPr>
        <w:spacing w:after="60" w:before="60"/>
      </w:pPr>
      <w:r>
        <w:rPr>
          <w:rFonts w:ascii="Times New Roman" w:cs="Times New Roman" w:eastAsia="Times New Roman" w:hAnsi="Times New Roman"/>
          <w:sz w:val="24"/>
          <w:szCs w:val="24"/>
        </w:rPr>
        <w:t xml:space="preserve">Проблема ответственности. Если решения принимаются якобы «по науке», без видимого субъекта-автора, кто несёт ответственность за их последствия? Технологии имперсональности размывают или полностью снимают моральную и политическую ответственность.</w:t>
      </w:r>
    </w:p>
    <w:p>
      <w:r>
        <w:rPr>
          <w:sz w:val="24"/>
          <w:szCs w:val="24"/>
        </w:rPr>
        <w:t xml:space="preserve"/>
      </w:r>
    </w:p>
    <w:p>
      <w:pPr>
        <w:spacing w:after="100" w:before="200"/>
        <w:jc w:val="left"/>
      </w:pPr>
      <w:r>
        <w:rPr>
          <w:rFonts w:ascii="Times New Roman" w:cs="Times New Roman" w:eastAsia="Times New Roman" w:hAnsi="Times New Roman"/>
          <w:b/>
          <w:bCs/>
          <w:sz w:val="24"/>
          <w:szCs w:val="24"/>
        </w:rPr>
        <w:t xml:space="preserve">Аргументы автора: анализ положений статьи</w:t>
      </w:r>
    </w:p>
    <w:p>
      <w:r>
        <w:rPr>
          <w:sz w:val="24"/>
          <w:szCs w:val="24"/>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263"/>
        <w:gridCol w:w="3263"/>
      </w:tblGrid>
      <w:tr>
        <w:tc>
          <w:tcPr>
            <w:tcW w:type="dxa" w:w="2500"/>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tcPr>
          <w:p>
            <w:r>
              <w:rPr>
                <w:rFonts w:ascii="Times New Roman" w:cs="Times New Roman" w:eastAsia="Times New Roman" w:hAnsi="Times New Roman"/>
                <w:b/>
                <w:bCs/>
                <w:sz w:val="22"/>
                <w:szCs w:val="22"/>
              </w:rPr>
              <w:t xml:space="preserve">Положение</w:t>
            </w:r>
          </w:p>
        </w:tc>
        <w:tc>
          <w:tcPr>
            <w:tcW w:type="dxa" w:w="3263"/>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tcPr>
          <w:p>
            <w:r>
              <w:rPr>
                <w:rFonts w:ascii="Times New Roman" w:cs="Times New Roman" w:eastAsia="Times New Roman" w:hAnsi="Times New Roman"/>
                <w:b/>
                <w:bCs/>
                <w:sz w:val="22"/>
                <w:szCs w:val="22"/>
              </w:rPr>
              <w:t xml:space="preserve">Аргументы «за»</w:t>
            </w:r>
          </w:p>
        </w:tc>
        <w:tc>
          <w:tcPr>
            <w:tcW w:type="dxa" w:w="3263"/>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tcPr>
          <w:p>
            <w:r>
              <w:rPr>
                <w:rFonts w:ascii="Times New Roman" w:cs="Times New Roman" w:eastAsia="Times New Roman" w:hAnsi="Times New Roman"/>
                <w:b/>
                <w:bCs/>
                <w:sz w:val="22"/>
                <w:szCs w:val="22"/>
              </w:rPr>
              <w:t xml:space="preserve">Аргументы «против» / Ограничения</w:t>
            </w:r>
          </w:p>
        </w:tc>
      </w:tr>
      <w:tr>
        <w:tc>
          <w:tcPr>
            <w:tcW w:type="dxa" w:w="25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2"/>
                <w:szCs w:val="22"/>
              </w:rPr>
              <w:t xml:space="preserve">Экономическое знание — инструмент власти, а не нейтральная наука</w:t>
            </w:r>
          </w:p>
        </w:tc>
        <w:tc>
          <w:tcPr>
            <w:tcW w:type="dxa" w:w="3263"/>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2"/>
                <w:szCs w:val="22"/>
              </w:rPr>
              <w:t xml:space="preserve">Модели создаются людьми с интересами; математическая форма лишь маскирует ценностные выборы. История показывает: смена парадигм связана с политическими сдвигами, а не только с открытиями.</w:t>
            </w:r>
          </w:p>
        </w:tc>
        <w:tc>
          <w:tcPr>
            <w:tcW w:type="dxa" w:w="3263"/>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2"/>
                <w:szCs w:val="22"/>
              </w:rPr>
              <w:t xml:space="preserve">Полное отрицание объективности ведёт к релятивизму: тогда нельзя отличить хорошую политику от плохой. Математический аппарат всё же позволяет делать проверяемые прогнозы.</w:t>
            </w:r>
          </w:p>
        </w:tc>
      </w:tr>
      <w:tr>
        <w:tc>
          <w:tcPr>
            <w:tcW w:type="dxa" w:w="25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2"/>
                <w:szCs w:val="22"/>
              </w:rPr>
              <w:t xml:space="preserve">Технологии имперсональности снимают ответственность с субъекта решения</w:t>
            </w:r>
          </w:p>
        </w:tc>
        <w:tc>
          <w:tcPr>
            <w:tcW w:type="dxa" w:w="3263"/>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2"/>
                <w:szCs w:val="22"/>
              </w:rPr>
              <w:t xml:space="preserve">Рейтинги, индексы и алгоритмы создают видимость, что «так решила наука», скрывая авторов выбора. Цифровизация усиливает этот эффект: алгоритмы воспринимаются как «чистая объективность».</w:t>
            </w:r>
          </w:p>
        </w:tc>
        <w:tc>
          <w:tcPr>
            <w:tcW w:type="dxa" w:w="3263"/>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2"/>
                <w:szCs w:val="22"/>
              </w:rPr>
              <w:t xml:space="preserve">Не все инструменты измерения служат власти: независимые исследования и критические школы (институционализм, феминистская экономика) существуют и оспаривают мейнстрим.</w:t>
            </w:r>
          </w:p>
        </w:tc>
      </w:tr>
      <w:tr>
        <w:tc>
          <w:tcPr>
            <w:tcW w:type="dxa" w:w="25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2"/>
                <w:szCs w:val="22"/>
              </w:rPr>
              <w:t xml:space="preserve">Перформативность: теории формируют реальность, а не описывают её</w:t>
            </w:r>
          </w:p>
        </w:tc>
        <w:tc>
          <w:tcPr>
            <w:tcW w:type="dxa" w:w="3263"/>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2"/>
                <w:szCs w:val="22"/>
              </w:rPr>
              <w:t xml:space="preserve">Внедрение финансовых моделей (например, модели Блэка–Шоулза) изменило поведение рынков. Экономические категории («ВВП», «инфляция») определяют то, что считается проблемой.</w:t>
            </w:r>
          </w:p>
        </w:tc>
        <w:tc>
          <w:tcPr>
            <w:tcW w:type="dxa" w:w="3263"/>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2"/>
                <w:szCs w:val="22"/>
              </w:rPr>
              <w:t xml:space="preserve">Перформативность не означает произвол: теории опровергаются практикой (кризисы 2008 г.) и могут быть пересмотрены. Наука сохраняет критический потенциал.</w:t>
            </w:r>
          </w:p>
        </w:tc>
      </w:tr>
    </w:tbl>
    <w:p>
      <w:r>
        <w:rPr>
          <w:sz w:val="24"/>
          <w:szCs w:val="24"/>
        </w:rPr>
        <w:t xml:space="preserve"/>
      </w:r>
    </w:p>
    <w:p>
      <w:pPr>
        <w:spacing w:after="100" w:before="200"/>
        <w:jc w:val="left"/>
      </w:pPr>
      <w:r>
        <w:rPr>
          <w:rFonts w:ascii="Times New Roman" w:cs="Times New Roman" w:eastAsia="Times New Roman" w:hAnsi="Times New Roman"/>
          <w:b/>
          <w:bCs/>
          <w:sz w:val="24"/>
          <w:szCs w:val="24"/>
        </w:rPr>
        <w:t xml:space="preserve">Ключевые слова в статье и их определение:</w:t>
      </w:r>
    </w:p>
    <w:p>
      <w:r>
        <w:rPr>
          <w:sz w:val="24"/>
          <w:szCs w:val="24"/>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5526"/>
      </w:tblGrid>
      <w:tr>
        <w:tc>
          <w:tcPr>
            <w:tcW w:type="dxa" w:w="3500"/>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tcPr>
          <w:p>
            <w:r>
              <w:rPr>
                <w:rFonts w:ascii="Times New Roman" w:cs="Times New Roman" w:eastAsia="Times New Roman" w:hAnsi="Times New Roman"/>
                <w:b/>
                <w:bCs/>
                <w:sz w:val="22"/>
                <w:szCs w:val="22"/>
              </w:rPr>
              <w:t xml:space="preserve">Ключевое слово</w:t>
            </w:r>
          </w:p>
        </w:tc>
        <w:tc>
          <w:tcPr>
            <w:tcW w:type="dxa" w:w="5526"/>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tcPr>
          <w:p>
            <w:r>
              <w:rPr>
                <w:rFonts w:ascii="Times New Roman" w:cs="Times New Roman" w:eastAsia="Times New Roman" w:hAnsi="Times New Roman"/>
                <w:b/>
                <w:bCs/>
                <w:sz w:val="22"/>
                <w:szCs w:val="22"/>
              </w:rPr>
              <w:t xml:space="preserve">Значение в контексте статьи</w:t>
            </w:r>
          </w:p>
        </w:tc>
      </w:tr>
      <w:tr>
        <w:tc>
          <w:tcPr>
            <w:tcW w:type="dxa" w:w="35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2"/>
                <w:szCs w:val="22"/>
              </w:rPr>
              <w:t xml:space="preserve">Экономическое знание</w:t>
            </w:r>
          </w:p>
        </w:tc>
        <w:tc>
          <w:tcPr>
            <w:tcW w:type="dxa" w:w="5526"/>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2"/>
                <w:szCs w:val="22"/>
              </w:rPr>
              <w:t xml:space="preserve">Совокупность теорий и моделей, описывающих хозяйственные отношения и претендующих на объективность.</w:t>
            </w:r>
          </w:p>
        </w:tc>
      </w:tr>
      <w:tr>
        <w:tc>
          <w:tcPr>
            <w:tcW w:type="dxa" w:w="35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2"/>
                <w:szCs w:val="22"/>
              </w:rPr>
              <w:t xml:space="preserve">Объективность</w:t>
            </w:r>
          </w:p>
        </w:tc>
        <w:tc>
          <w:tcPr>
            <w:tcW w:type="dxa" w:w="5526"/>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2"/>
                <w:szCs w:val="22"/>
              </w:rPr>
              <w:t xml:space="preserve">Свойство знания, означающее независимость от интересов субъекта; в статье ставится под сомнение применительно к экономике.</w:t>
            </w:r>
          </w:p>
        </w:tc>
      </w:tr>
      <w:tr>
        <w:tc>
          <w:tcPr>
            <w:tcW w:type="dxa" w:w="35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2"/>
                <w:szCs w:val="22"/>
              </w:rPr>
              <w:t xml:space="preserve">Имперсональность (технологии имперсональности)</w:t>
            </w:r>
          </w:p>
        </w:tc>
        <w:tc>
          <w:tcPr>
            <w:tcW w:type="dxa" w:w="5526"/>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2"/>
                <w:szCs w:val="22"/>
              </w:rPr>
              <w:t xml:space="preserve">Механизмы представления знания как безличного и нейтрального; инструмент легитимации власти без видимого субъекта.</w:t>
            </w:r>
          </w:p>
        </w:tc>
      </w:tr>
      <w:tr>
        <w:tc>
          <w:tcPr>
            <w:tcW w:type="dxa" w:w="35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2"/>
                <w:szCs w:val="22"/>
              </w:rPr>
              <w:t xml:space="preserve">Социальное конструирование</w:t>
            </w:r>
          </w:p>
        </w:tc>
        <w:tc>
          <w:tcPr>
            <w:tcW w:type="dxa" w:w="5526"/>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2"/>
                <w:szCs w:val="22"/>
              </w:rPr>
              <w:t xml:space="preserve">Процесс создания реальности через взаимодействие людей, их знания и практики (П. Бергер, Т. Лукман).</w:t>
            </w:r>
          </w:p>
        </w:tc>
      </w:tr>
      <w:tr>
        <w:tc>
          <w:tcPr>
            <w:tcW w:type="dxa" w:w="35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2"/>
                <w:szCs w:val="22"/>
              </w:rPr>
              <w:t xml:space="preserve">Перформативность</w:t>
            </w:r>
          </w:p>
        </w:tc>
        <w:tc>
          <w:tcPr>
            <w:tcW w:type="dxa" w:w="5526"/>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2"/>
                <w:szCs w:val="22"/>
              </w:rPr>
              <w:t xml:space="preserve">Способность экономических теорий не просто описывать, но и формировать рыночную реальность (М. Каллон).</w:t>
            </w:r>
          </w:p>
        </w:tc>
      </w:tr>
      <w:tr>
        <w:tc>
          <w:tcPr>
            <w:tcW w:type="dxa" w:w="35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2"/>
                <w:szCs w:val="22"/>
              </w:rPr>
              <w:t xml:space="preserve">Власть/знание</w:t>
            </w:r>
          </w:p>
        </w:tc>
        <w:tc>
          <w:tcPr>
            <w:tcW w:type="dxa" w:w="5526"/>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2"/>
                <w:szCs w:val="22"/>
              </w:rPr>
              <w:t xml:space="preserve">Неразрывная связь производства «истины» и властных отношений (М. Фуко).</w:t>
            </w:r>
          </w:p>
        </w:tc>
      </w:tr>
      <w:tr>
        <w:tc>
          <w:tcPr>
            <w:tcW w:type="dxa" w:w="35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2"/>
                <w:szCs w:val="22"/>
              </w:rPr>
              <w:t xml:space="preserve">Технократия</w:t>
            </w:r>
          </w:p>
        </w:tc>
        <w:tc>
          <w:tcPr>
            <w:tcW w:type="dxa" w:w="5526"/>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2"/>
                <w:szCs w:val="22"/>
              </w:rPr>
              <w:t xml:space="preserve">Форма управления, при которой решения принимаются на основе экспертного знания, а не политической воли.</w:t>
            </w:r>
          </w:p>
        </w:tc>
      </w:tr>
      <w:tr>
        <w:tc>
          <w:tcPr>
            <w:tcW w:type="dxa" w:w="35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2"/>
                <w:szCs w:val="22"/>
              </w:rPr>
              <w:t xml:space="preserve">Легитимация</w:t>
            </w:r>
          </w:p>
        </w:tc>
        <w:tc>
          <w:tcPr>
            <w:tcW w:type="dxa" w:w="5526"/>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2"/>
                <w:szCs w:val="22"/>
              </w:rPr>
              <w:t xml:space="preserve">Процесс придания законного статуса практикам или суждениям через апелляцию к авторитету науки.</w:t>
            </w:r>
          </w:p>
        </w:tc>
      </w:tr>
      <w:tr>
        <w:tc>
          <w:tcPr>
            <w:tcW w:type="dxa" w:w="35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2"/>
                <w:szCs w:val="22"/>
              </w:rPr>
              <w:t xml:space="preserve">Нарратив</w:t>
            </w:r>
          </w:p>
        </w:tc>
        <w:tc>
          <w:tcPr>
            <w:tcW w:type="dxa" w:w="5526"/>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2"/>
                <w:szCs w:val="22"/>
              </w:rPr>
              <w:t xml:space="preserve">Связный рассказ, конструирующий смысл; способ, которым экономисты формируют образ «объективной» реальности.</w:t>
            </w:r>
          </w:p>
        </w:tc>
      </w:tr>
      <w:tr>
        <w:tc>
          <w:tcPr>
            <w:tcW w:type="dxa" w:w="35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2"/>
                <w:szCs w:val="22"/>
              </w:rPr>
              <w:t xml:space="preserve">Мейнстримная экономика</w:t>
            </w:r>
          </w:p>
        </w:tc>
        <w:tc>
          <w:tcPr>
            <w:tcW w:type="dxa" w:w="5526"/>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2"/>
                <w:szCs w:val="22"/>
              </w:rPr>
              <w:t xml:space="preserve">Господствующее направление в экономической науке, претендующее на универсальность своих моделей.</w:t>
            </w:r>
          </w:p>
        </w:tc>
      </w:tr>
    </w:tbl>
    <w:p>
      <w:r>
        <w:rPr>
          <w:sz w:val="24"/>
          <w:szCs w:val="24"/>
        </w:rPr>
        <w:t xml:space="preserve"/>
      </w:r>
    </w:p>
    <w:p>
      <w:pPr>
        <w:spacing w:after="100" w:before="200"/>
        <w:jc w:val="left"/>
      </w:pPr>
      <w:r>
        <w:rPr>
          <w:rFonts w:ascii="Times New Roman" w:cs="Times New Roman" w:eastAsia="Times New Roman" w:hAnsi="Times New Roman"/>
          <w:b/>
          <w:bCs/>
          <w:sz w:val="24"/>
          <w:szCs w:val="24"/>
        </w:rPr>
        <w:t xml:space="preserve">Оценить: моё отношение к проблеме объективности знания</w:t>
      </w:r>
    </w:p>
    <w:p>
      <w:pPr>
        <w:spacing w:after="80" w:before="80"/>
        <w:jc w:val="left"/>
      </w:pPr>
      <w:r>
        <w:rPr>
          <w:rFonts w:ascii="Times New Roman" w:cs="Times New Roman" w:eastAsia="Times New Roman" w:hAnsi="Times New Roman"/>
          <w:b w:val="false"/>
          <w:bCs w:val="false"/>
          <w:color w:val="000000"/>
          <w:sz w:val="24"/>
          <w:szCs w:val="24"/>
        </w:rPr>
        <w:t xml:space="preserve">Вопрос об объективности социального знания — один из центральных в философии науки. Статья Кошовец убедительно показывает, что абсолютная объективность в экономике недостижима: любая модель создаётся людьми, выбирающими, что считать важным, а что — исключить. Математическая форма лишь придаёт этим выборам видимость нейтральности.</w:t>
      </w:r>
    </w:p>
    <w:p>
      <w:r>
        <w:rPr>
          <w:sz w:val="24"/>
          <w:szCs w:val="24"/>
        </w:rPr>
        <w:t xml:space="preserve"/>
      </w:r>
    </w:p>
    <w:p>
      <w:pPr>
        <w:spacing w:after="80" w:before="80"/>
        <w:jc w:val="left"/>
      </w:pPr>
      <w:r>
        <w:rPr>
          <w:rFonts w:ascii="Times New Roman" w:cs="Times New Roman" w:eastAsia="Times New Roman" w:hAnsi="Times New Roman"/>
          <w:b w:val="false"/>
          <w:bCs w:val="false"/>
          <w:color w:val="000000"/>
          <w:sz w:val="24"/>
          <w:szCs w:val="24"/>
        </w:rPr>
        <w:t xml:space="preserve">Ни абсолютная объективность, ни полный релятивизм не являются ни истинными, ни нравственными позициями. Крайний релятивизм («любое знание — лишь власть») разрушает возможность рационального общественного диалога. Наиболее истинным и нравственным я считаю понимание объективности как процедурной: знание объективно не потому, что отражает мир «как он есть», а потому, что получено в ходе открытой, критической, публично проверяемой процедуры, в которой участвуют разные голоса. Такая объективность честна, потому что признаёт свою неполноту и открыта к пересмотру. С практической точки зрения это означает: экономические рекомендации должны сопровождаться явным указанием на их ценностные основания, а не прятаться за маской науки.</w:t>
      </w:r>
    </w:p>
    <w:p>
      <w:r>
        <w:rPr>
          <w:sz w:val="24"/>
          <w:szCs w:val="24"/>
        </w:rPr>
        <w:t xml:space="preserve"/>
      </w:r>
    </w:p>
    <w:p>
      <w:pPr>
        <w:spacing w:after="100" w:before="200"/>
        <w:jc w:val="left"/>
      </w:pPr>
      <w:r>
        <w:rPr>
          <w:rFonts w:ascii="Times New Roman" w:cs="Times New Roman" w:eastAsia="Times New Roman" w:hAnsi="Times New Roman"/>
          <w:b/>
          <w:bCs/>
          <w:sz w:val="24"/>
          <w:szCs w:val="24"/>
        </w:rPr>
        <w:t xml:space="preserve">Предложить: кто должен конструировать реальность? Может ли ИИ быть менеджером?</w:t>
      </w:r>
    </w:p>
    <w:p>
      <w:pPr>
        <w:spacing w:after="80" w:before="80"/>
        <w:jc w:val="left"/>
      </w:pPr>
      <w:r>
        <w:rPr>
          <w:rFonts w:ascii="Times New Roman" w:cs="Times New Roman" w:eastAsia="Times New Roman" w:hAnsi="Times New Roman"/>
          <w:b w:val="false"/>
          <w:bCs w:val="false"/>
          <w:color w:val="000000"/>
          <w:sz w:val="24"/>
          <w:szCs w:val="24"/>
        </w:rPr>
        <w:t xml:space="preserve">Бюрократы обладают инструментами исполнения решений, но склонны воспроизводить существующую систему. Экономисты предлагают модели, однако их «объективность» нередко служит конкретным интересам. Учёные обеспечивают критическое мышление, но часто далеки от практики управления. Инженеры умеют решать конкретные задачи, однако склонны сводить сложные социальные проблемы к техническим. Наиболее разумной представляется модель коллегиального, полифонического управления: ни одна группа не должна монопольно конструировать реальность — необходим открытый диалог при обязательном участии гражданского общества.</w:t>
      </w:r>
    </w:p>
    <w:p>
      <w:r>
        <w:rPr>
          <w:sz w:val="24"/>
          <w:szCs w:val="24"/>
        </w:rPr>
        <w:t xml:space="preserve"/>
      </w:r>
    </w:p>
    <w:p>
      <w:pPr>
        <w:spacing w:after="80" w:before="80"/>
        <w:jc w:val="left"/>
      </w:pPr>
      <w:r>
        <w:rPr>
          <w:rFonts w:ascii="Times New Roman" w:cs="Times New Roman" w:eastAsia="Times New Roman" w:hAnsi="Times New Roman"/>
          <w:b w:val="false"/>
          <w:bCs w:val="false"/>
          <w:color w:val="000000"/>
          <w:sz w:val="24"/>
          <w:szCs w:val="24"/>
        </w:rPr>
        <w:t xml:space="preserve">Может ли ИИ быть эффективным менеджером? Технически ИИ способен обрабатывать огромные объёмы данных и оптимизировать решения — но только по заранее заданным критериям. Выбор самих критериев — всегда ценностный акт, а не технический. ИИ не несёт моральной ответственности и воспроизводит предубеждения тех, кто его создал.</w:t>
      </w:r>
    </w:p>
    <w:p>
      <w:r>
        <w:rPr>
          <w:sz w:val="24"/>
          <w:szCs w:val="24"/>
        </w:rPr>
        <w:t xml:space="preserve"/>
      </w:r>
    </w:p>
    <w:p>
      <w:pPr>
        <w:spacing w:after="80" w:before="80"/>
        <w:jc w:val="left"/>
      </w:pPr>
      <w:r>
        <w:rPr>
          <w:rFonts w:ascii="Times New Roman" w:cs="Times New Roman" w:eastAsia="Times New Roman" w:hAnsi="Times New Roman"/>
          <w:b w:val="false"/>
          <w:bCs w:val="false"/>
          <w:color w:val="000000"/>
          <w:sz w:val="24"/>
          <w:szCs w:val="24"/>
        </w:rPr>
        <w:t xml:space="preserve">Примеры актуальности проблемы:</w:t>
      </w:r>
    </w:p>
    <w:p>
      <w:pPr>
        <w:pStyle w:val="ListParagraph"/>
        <w:numPr>
          <w:ilvl w:val="0"/>
          <w:numId w:val="3"/>
        </w:numPr>
        <w:spacing w:after="60" w:before="60"/>
      </w:pPr>
      <w:r>
        <w:rPr>
          <w:rFonts w:ascii="Times New Roman" w:cs="Times New Roman" w:eastAsia="Times New Roman" w:hAnsi="Times New Roman"/>
          <w:sz w:val="24"/>
          <w:szCs w:val="24"/>
        </w:rPr>
        <w:t xml:space="preserve">Алгоритмы кредитного скоринга принимают решения о судьбах людей, воспроизводя социальное неравенство из обучающих данных — типичная «технология имперсональности».</w:t>
      </w:r>
    </w:p>
    <w:p>
      <w:pPr>
        <w:pStyle w:val="ListParagraph"/>
        <w:numPr>
          <w:ilvl w:val="0"/>
          <w:numId w:val="3"/>
        </w:numPr>
        <w:spacing w:after="60" w:before="60"/>
      </w:pPr>
      <w:r>
        <w:rPr>
          <w:rFonts w:ascii="Times New Roman" w:cs="Times New Roman" w:eastAsia="Times New Roman" w:hAnsi="Times New Roman"/>
          <w:sz w:val="24"/>
          <w:szCs w:val="24"/>
        </w:rPr>
        <w:t xml:space="preserve">Алгоритмы ценообразования на маркетплейсах формируют рыночную реальность эффективнее любого бюрократа — но в интересах платформы, а не общества.</w:t>
      </w:r>
    </w:p>
    <w:p>
      <w:pPr>
        <w:pStyle w:val="ListParagraph"/>
        <w:numPr>
          <w:ilvl w:val="0"/>
          <w:numId w:val="3"/>
        </w:numPr>
        <w:spacing w:after="60" w:before="60"/>
      </w:pPr>
      <w:r>
        <w:rPr>
          <w:rFonts w:ascii="Times New Roman" w:cs="Times New Roman" w:eastAsia="Times New Roman" w:hAnsi="Times New Roman"/>
          <w:sz w:val="24"/>
          <w:szCs w:val="24"/>
        </w:rPr>
        <w:t xml:space="preserve">Попытки внедрить ИИ в государственное управление (Эстония, Китай) показывают как возможности (скорость, прозрачность), так и риски: концентрация власти у разработчиков систем, потеря политической субъектности.</w:t>
      </w:r>
    </w:p>
    <w:p>
      <w:r>
        <w:rPr>
          <w:sz w:val="24"/>
          <w:szCs w:val="24"/>
        </w:rPr>
        <w:t xml:space="preserve"/>
      </w:r>
    </w:p>
    <w:p>
      <w:pPr>
        <w:spacing w:after="80" w:before="80"/>
        <w:jc w:val="left"/>
      </w:pPr>
      <w:r>
        <w:rPr>
          <w:rFonts w:ascii="Times New Roman" w:cs="Times New Roman" w:eastAsia="Times New Roman" w:hAnsi="Times New Roman"/>
          <w:b w:val="false"/>
          <w:bCs w:val="false"/>
          <w:color w:val="000000"/>
          <w:sz w:val="24"/>
          <w:szCs w:val="24"/>
        </w:rPr>
        <w:t xml:space="preserve">Таким образом, ИИ может быть мощным инструментом в руках менеджера, но не самостоятельным субъектом управления. Делегирование ИИ права конструировать социальную реальность без человеческого контроля — это «технология имперсональности» в её крайней форме: власть без субъекта и без ответственности.</w:t>
      </w:r>
    </w:p>
    <w:p>
      <w:r>
        <w:rPr>
          <w:sz w:val="24"/>
          <w:szCs w:val="24"/>
        </w:rPr>
        <w:t xml:space="preserve"/>
      </w:r>
    </w:p>
    <w:sectPr>
      <w:pgSz w:w="11906" w:h="16838" w:orient="portrait"/>
      <w:pgMar w:top="1440" w:right="1008" w:bottom="1440"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2026-05-14T21:05:06.872Z</dcterms:created>
  <dcterms:modified xsi:type="dcterms:W3CDTF">2026-05-14T21:05:06.872Z</dcterms:modified>
</cp:coreProperties>
</file>

<file path=docProps/custom.xml><?xml version="1.0" encoding="utf-8"?>
<Properties xmlns="http://schemas.openxmlformats.org/officeDocument/2006/custom-properties" xmlns:vt="http://schemas.openxmlformats.org/officeDocument/2006/docPropsVTypes"/>
</file>