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color w:val="000000"/>
          <w:sz w:val="24"/>
          <w:szCs w:val="24"/>
        </w:rPr>
        <w:t xml:space="preserve">ГУАП</w:t>
      </w:r>
    </w:p>
    <w:p>
      <w:pPr>
        <w:spacing w:after="80" w:before="80"/>
        <w:jc w:val="center"/>
      </w:pPr>
      <w:r>
        <w:rPr>
          <w:rFonts w:ascii="Times New Roman" w:cs="Times New Roman" w:eastAsia="Times New Roman" w:hAnsi="Times New Roman"/>
          <w:b/>
          <w:bCs/>
          <w:color w:val="000000"/>
          <w:sz w:val="24"/>
          <w:szCs w:val="24"/>
        </w:rPr>
        <w:t xml:space="preserve">КАФЕДРА № 61</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ОТЧЕТ</w:t>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ЗАЩИЩЕН С ОЦЕНКОЙ</w:t>
            </w:r>
          </w:p>
        </w:tc>
      </w:tr>
      <w:tr>
        <w:tc>
          <w:tcPr>
            <w:tcW w:type="dxa" w:w="4513"/>
            <w:tcBorders>
              <w:top w:val="none" w:color="FFFFFF" w:sz="0"/>
              <w:left w:val="none" w:color="FFFFFF" w:sz="0"/>
              <w:bottom w:val="none" w:color="FFFFFF" w:sz="0"/>
              <w:right w:val="none" w:color="FFFFFF" w:sz="0"/>
            </w:tcBorders>
          </w:tcPr>
          <w:p>
            <w:r>
              <w:rPr>
                <w:sz w:val="24"/>
                <w:szCs w:val="24"/>
              </w:rPr>
              <w:t xml:space="preserve"/>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ПРЕПОДАВАТЕЛЬ</w:t>
            </w:r>
          </w:p>
        </w:tc>
      </w:tr>
      <w:tr>
        <w:tc>
          <w:tcPr>
            <w:tcW w:type="dxa" w:w="4513"/>
            <w:tcBorders>
              <w:top w:val="none" w:color="FFFFFF" w:sz="0"/>
              <w:left w:val="none" w:color="FFFFFF" w:sz="0"/>
              <w:bottom w:val="none" w:color="FFFFFF" w:sz="0"/>
              <w:right w:val="none" w:color="FFFFFF" w:sz="0"/>
            </w:tcBorders>
          </w:tcPr>
          <w:p>
            <w:r>
              <w:rPr>
                <w:sz w:val="24"/>
                <w:szCs w:val="24"/>
              </w:rPr>
              <w:t xml:space="preserve"/>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доцент                          М. Л. Бурова</w:t>
            </w:r>
          </w:p>
        </w:tc>
      </w:tr>
      <w:tr>
        <w:tc>
          <w:tcPr>
            <w:tcW w:type="dxa" w:w="4513"/>
            <w:tcBorders>
              <w:top w:val="none" w:color="FFFFFF" w:sz="0"/>
              <w:left w:val="none" w:color="FFFFFF" w:sz="0"/>
              <w:bottom w:val="none" w:color="FFFFFF" w:sz="0"/>
              <w:right w:val="none" w:color="FFFFFF" w:sz="0"/>
            </w:tcBorders>
          </w:tcPr>
          <w:p>
            <w:r>
              <w:rPr>
                <w:sz w:val="24"/>
                <w:szCs w:val="24"/>
              </w:rPr>
              <w:t xml:space="preserve"/>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color w:val="888888"/>
                <w:sz w:val="18"/>
                <w:szCs w:val="18"/>
              </w:rPr>
              <w:t xml:space="preserve">должность, уч. степень, звание          инициалы, фамилия</w:t>
            </w:r>
          </w:p>
        </w:tc>
      </w:tr>
    </w:tbl>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pPr>
              <w:jc w:val="center"/>
            </w:pPr>
            <w:r>
              <w:rPr>
                <w:rFonts w:ascii="Times New Roman" w:cs="Times New Roman" w:eastAsia="Times New Roman" w:hAnsi="Times New Roman"/>
                <w:b/>
                <w:bCs/>
                <w:sz w:val="28"/>
                <w:szCs w:val="28"/>
              </w:rPr>
              <w:t xml:space="preserve">ОТЧЕТ О ТВОРЧЕСКОМ ЗАДАНИИ</w:t>
            </w:r>
          </w:p>
          <w:p>
            <w:pPr>
              <w:jc w:val="center"/>
            </w:pPr>
            <w:r>
              <w:rPr>
                <w:rFonts w:ascii="Times New Roman" w:cs="Times New Roman" w:eastAsia="Times New Roman" w:hAnsi="Times New Roman"/>
                <w:b/>
                <w:bCs/>
                <w:sz w:val="26"/>
                <w:szCs w:val="26"/>
              </w:rPr>
              <w:t xml:space="preserve">АНАЛИЗ СТАТЬИ</w:t>
            </w:r>
          </w:p>
          <w:p>
            <w:pPr>
              <w:jc w:val="center"/>
            </w:pPr>
            <w:r>
              <w:rPr>
                <w:rFonts w:ascii="Times New Roman" w:cs="Times New Roman" w:eastAsia="Times New Roman" w:hAnsi="Times New Roman"/>
                <w:sz w:val="24"/>
                <w:szCs w:val="24"/>
              </w:rPr>
              <w:t xml:space="preserve">по курсу: ФИЛОСОФИЯ</w:t>
            </w:r>
          </w:p>
        </w:tc>
      </w:tr>
    </w:tbl>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none" w:color="FFFFFF" w:sz="0"/>
              <w:left w:val="none" w:color="FFFFFF" w:sz="0"/>
              <w:bottom w:val="none" w:color="FFFFFF" w:sz="0"/>
              <w:right w:val="none" w:color="FFFFFF" w:sz="0"/>
            </w:tcBorders>
          </w:tcPr>
          <w:p>
            <w:pPr>
              <w:spacing w:after="80" w:before="80"/>
              <w:jc w:val="left"/>
            </w:pPr>
            <w:r>
              <w:rPr>
                <w:rFonts w:ascii="Times New Roman" w:cs="Times New Roman" w:eastAsia="Times New Roman" w:hAnsi="Times New Roman"/>
                <w:b w:val="false"/>
                <w:bCs w:val="false"/>
                <w:color w:val="000000"/>
                <w:sz w:val="24"/>
                <w:szCs w:val="24"/>
              </w:rPr>
              <w:t xml:space="preserve">СТУДЕНТ гр. №</w:t>
            </w:r>
          </w:p>
        </w:tc>
        <w:tc>
          <w:tcPr>
            <w:tcW w:type="dxa" w:w="1500"/>
            <w:tcBorders>
              <w:top w:val="none" w:color="FFFFFF" w:sz="0"/>
              <w:left w:val="none" w:color="FFFFFF" w:sz="0"/>
              <w:bottom w:val="single" w:color="AAAAAA" w:sz="1"/>
              <w:right w:val="none" w:color="FFFFFF" w:sz="0"/>
            </w:tcBorders>
          </w:tcPr>
          <w:p>
            <w:pPr>
              <w:spacing w:after="80" w:before="80"/>
              <w:jc w:val="center"/>
            </w:pPr>
            <w:r>
              <w:rPr>
                <w:rFonts w:ascii="Times New Roman" w:cs="Times New Roman" w:eastAsia="Times New Roman" w:hAnsi="Times New Roman"/>
                <w:b w:val="false"/>
                <w:bCs w:val="false"/>
                <w:color w:val="000000"/>
                <w:sz w:val="24"/>
                <w:szCs w:val="24"/>
              </w:rPr>
              <w:t xml:space="preserve">_______</w:t>
            </w:r>
          </w:p>
        </w:tc>
        <w:tc>
          <w:tcPr>
            <w:tcW w:type="dxa" w:w="2000"/>
            <w:tcBorders>
              <w:top w:val="none" w:color="FFFFFF" w:sz="0"/>
              <w:left w:val="none" w:color="FFFFFF" w:sz="0"/>
              <w:bottom w:val="single" w:color="AAAAAA" w:sz="1"/>
              <w:right w:val="none" w:color="FFFFFF" w:sz="0"/>
            </w:tcBorders>
          </w:tcPr>
          <w:p>
            <w:pPr>
              <w:spacing w:after="80" w:before="80"/>
              <w:jc w:val="center"/>
            </w:pPr>
            <w:r>
              <w:rPr>
                <w:rFonts w:ascii="Times New Roman" w:cs="Times New Roman" w:eastAsia="Times New Roman" w:hAnsi="Times New Roman"/>
                <w:b w:val="false"/>
                <w:bCs w:val="false"/>
                <w:color w:val="000000"/>
                <w:sz w:val="24"/>
                <w:szCs w:val="24"/>
              </w:rPr>
              <w:t xml:space="preserve">подпись, дата</w:t>
            </w:r>
          </w:p>
        </w:tc>
        <w:tc>
          <w:tcPr>
            <w:tcW w:type="dxa" w:w="3526"/>
            <w:tcBorders>
              <w:top w:val="none" w:color="FFFFFF" w:sz="0"/>
              <w:left w:val="none" w:color="FFFFFF" w:sz="0"/>
              <w:bottom w:val="single" w:color="AAAAAA" w:sz="1"/>
              <w:right w:val="none" w:color="FFFFFF" w:sz="0"/>
            </w:tcBorders>
          </w:tcPr>
          <w:p>
            <w:pPr>
              <w:spacing w:after="80" w:before="80"/>
              <w:jc w:val="center"/>
            </w:pPr>
            <w:r>
              <w:rPr>
                <w:rFonts w:ascii="Times New Roman" w:cs="Times New Roman" w:eastAsia="Times New Roman" w:hAnsi="Times New Roman"/>
                <w:b w:val="false"/>
                <w:bCs w:val="false"/>
                <w:color w:val="000000"/>
                <w:sz w:val="24"/>
                <w:szCs w:val="24"/>
              </w:rPr>
              <w:t xml:space="preserve">инициалы, фамилия</w:t>
            </w:r>
          </w:p>
        </w:tc>
      </w:tr>
    </w:tbl>
    <w:p>
      <w:r>
        <w:rPr>
          <w:sz w:val="24"/>
          <w:szCs w:val="24"/>
        </w:rPr>
        <w:t xml:space="preserve"/>
      </w:r>
    </w:p>
    <w:p>
      <w:pPr>
        <w:spacing w:after="80" w:before="80"/>
        <w:jc w:val="center"/>
      </w:pPr>
      <w:r>
        <w:rPr>
          <w:rFonts w:ascii="Times New Roman" w:cs="Times New Roman" w:eastAsia="Times New Roman" w:hAnsi="Times New Roman"/>
          <w:b w:val="false"/>
          <w:bCs w:val="false"/>
          <w:color w:val="000000"/>
          <w:sz w:val="24"/>
          <w:szCs w:val="24"/>
        </w:rPr>
        <w:t xml:space="preserve">Санкт-Петербург 2026</w:t>
      </w:r>
    </w:p>
    <w:p>
      <w:r>
        <w:rPr>
          <w:sz w:val="24"/>
          <w:szCs w:val="24"/>
        </w:rPr>
        <w:t xml:space="preserve"/>
      </w:r>
    </w:p>
    <w:p>
      <w:r>
        <w:br w:type="page"/>
      </w:r>
    </w:p>
    <w:p>
      <w:pPr>
        <w:spacing w:after="80" w:before="80"/>
        <w:jc w:val="left"/>
      </w:pPr>
      <w:r>
        <w:rPr>
          <w:rFonts w:ascii="Times New Roman" w:cs="Times New Roman" w:eastAsia="Times New Roman" w:hAnsi="Times New Roman"/>
          <w:b/>
          <w:bCs/>
          <w:color w:val="000000"/>
          <w:sz w:val="24"/>
          <w:szCs w:val="24"/>
        </w:rPr>
        <w:t xml:space="preserve">Статья: Кошовец О.Б. «Экономическое знание и власть: от научной объективности к технологиям имперсональности и социальному конструированию»</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Вопросы: Кто должен конструировать социальную реальность – бюрократы, экономисты, учёные, инженеры? Можно ли считать ИИ эффективным менеджером?</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В статье автор исследует, каким образом экономическое знание приобретает статус объективного и нейтрального, превращаясь при этом в инструмент власти и управления. Кошовец показывает, что претензия экономики на научную объективность исторически формировалась параллельно с её политическим влиянием: экономисты, апеллируя к «законам рынка» и математическим моделям, легитимировали решения, затрагивающие всё общество.</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Ключевое понятие статьи — «технологии имперсональности»: это механизмы, при помощи которых знание представляется безличным и не зависящим от конкретного субъекта. Статистика, индексы, рейтинги — всё это создаёт иллюзию, что решения принимаются «по науке», а не людьми с определёнными интересами. Тем самым ответственность за последствия оказывается размытой или вовсе снятой.</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Автор также обращается к идее перформативности: экономические теории не просто описывают реальность, но и активно её формируют. Вводя определённые модели и категории, экономисты конструируют социальную реальность — рынки, стоимости, риски. В итоге граница между описанием и предписанием оказывается условной.</w:t>
      </w:r>
    </w:p>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Гносеологические, моральные, социально-политические концепции и их представители</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Концепция</w:t>
            </w:r>
          </w:p>
        </w:tc>
        <w:tc>
          <w:tcPr>
            <w:tcW w:type="dxa" w:w="2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Представитель(и)</w:t>
            </w:r>
          </w:p>
        </w:tc>
        <w:tc>
          <w:tcPr>
            <w:tcW w:type="dxa" w:w="43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Смысл концепции в статье</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Социальное конструирование реальности</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 Бергер, Т. Лукман</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Реальность не дана в готовом виде — она создаётся людьми в ходе совместной деятельности. Экономические факты и нормы суть результат социальных договорённостей, а не объективных законов природы.</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Власть/знание</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 Фуко</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Знание и власть неотделимы: тот, кто контролирует производство «истины», получает инструмент управления обществом. Экономическая наука — один из таких инструментов.</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 экономики</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 Каллон, Д. Маккензи</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Экономические теории не просто описывают рынки — они их формируют. Модели становятся технологиями управления реальностью, а не только её отражением.</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Технократия и экспертократия</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 Веблен, Д. Белл</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Управление обществом должно строиться на экспертном знании. Экономисты позиционируют себя как наиболее компетентных «архитекторов» социальной реальности.</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Критика позитивизма (теория парадигм)</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 Кун</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Объективность науки исторична и социально обусловлена. Смена экономических парадигм (кейнсианство → монетаризм) отражает не только научный прогресс, но и политические интересы.</w:t>
            </w:r>
          </w:p>
        </w:tc>
      </w:tr>
    </w:tbl>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Аргументы автора: анализ положений статьи</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Положение</w:t>
            </w:r>
          </w:p>
        </w:tc>
        <w:tc>
          <w:tcPr>
            <w:tcW w:type="dxa" w:w="3263"/>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Аргументы «за»</w:t>
            </w:r>
          </w:p>
        </w:tc>
        <w:tc>
          <w:tcPr>
            <w:tcW w:type="dxa" w:w="3263"/>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Аргументы «против» / Ограничения</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Экономическое знание — инструмент власти, а не нейтральная наука</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Модели создаются людьми с интересами; математическая форма лишь маскирует ценностные выборы. История показывает: смена парадигм связана с политическими сдвигами, а не только с открытиями.</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Полное отрицание объективности ведёт к релятивизму: тогда нельзя отличить хорошую политику от плохой. Математический аппарат всё же позволяет делать проверяемые прогнозы.</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Технологии имперсональности снимают ответственность с субъекта решения</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Рейтинги, индексы и алгоритмы создают видимость, что «так решила наука», скрывая авторов выбора. Цифровизация усиливает этот эффект: алгоритмы воспринимаются как «чистая объективность».</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Не все инструменты измерения служат власти: независимые исследования и критические школы (институционализм, феминистская экономика) существуют и оспаривают мейнстрим.</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 теории формируют реальность, а не описывают её</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Внедрение финансовых моделей (например, модели Блэка–Шоулза) изменило поведение рынков. Экономические категории («ВВП», «инфляция») определяют то, что считается проблемой.</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 не означает произвол: теории опровергаются практикой (кризисы 2008 г.) и могут быть пересмотрены. Наука сохраняет критический потенциал.</w:t>
            </w:r>
          </w:p>
        </w:tc>
      </w:tr>
    </w:tbl>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Ключевые слова в статье и их определение:</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Ключевое слово</w:t>
            </w:r>
          </w:p>
        </w:tc>
        <w:tc>
          <w:tcPr>
            <w:tcW w:type="dxa" w:w="55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Значение в контексте статьи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Экономическое знание</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Совокупность теорий и моделей, описывающих хозяйственные отношения и претендующих на объективность.</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Объективность</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Свойство знания, означающее независимость от интересов субъекта; в статье ставится под сомнение применительно к экономике.</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Имперсональность (технологии имперсональности)</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Механизмы представления знания как безличного и нейтрального; инструмент легитимации власти без видимого субъекта.</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Социальное конструирование</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Процесс создания реальности через взаимодействие людей, их знания и практики (П. Бергер, Т. Лукман).</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Способность экономических теорий не просто описывать, но и формировать рыночную реальность (М. Каллон).</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Власть/знание</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Неразрывная связь производства «истины» и властных отношений (М. Фуко).</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Технократия</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Форма управления, при которой решения принимаются на основе экспертного знания, а не политической воли.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Легитимация</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Процесс придания законного статуса практикам или суждениям через апелляцию к авторитету науки.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Нарратив</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Связный рассказ, конструирующий смысл; способ, которым экономисты формируют образ «объективной» реальности.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Мейнстримная экономика</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Господствующее направление в экономической науке, претендующее на универсальность своих моделей.</w:t>
            </w:r>
          </w:p>
        </w:tc>
      </w:tr>
    </w:tbl>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Вывод:</w:t>
      </w:r>
    </w:p>
    <w:p>
      <w:pPr>
        <w:spacing w:after="80" w:before="80"/>
        <w:jc w:val="left"/>
      </w:pPr>
      <w:r>
        <w:rPr>
          <w:rFonts w:ascii="Times New Roman" w:cs="Times New Roman" w:eastAsia="Times New Roman" w:hAnsi="Times New Roman"/>
          <w:b w:val="false"/>
          <w:bCs w:val="false"/>
          <w:color w:val="000000"/>
          <w:sz w:val="24"/>
          <w:szCs w:val="24"/>
        </w:rPr>
        <w:t xml:space="preserve">Вопрос об объективности социального знания — один из центральных в философии науки. Статья Кошовец убедительно показывает, что абсолютная объективность в экономике недостижима: любая модель создаётся людьми, выбирающими, что считать важным, а что — исключить. Математическая форма лишь придаёт этим выборам видимость нейтральности.</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Кто должен конструировать социальную реальность? Бюрократы обладают инструментами исполнения, но склонны воспроизводить существующую систему. Экономисты предлагают модели, однако их «объективность» нередко служит конкретным интересам. Учёные обеспечивают критическое мышление, но часто далеки от практики. Инженеры умеют решать задачи, однако склонны сводить социальные проблемы к техническим. Наиболее разумной представляется модель коллегиального управления: ни одна группа не должна монопольно конструировать реальность — необходим открытый диалог при участии гражданского общества.</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Может ли ИИ быть эффективным менеджером? Технически ИИ способен обрабатывать огромные объёмы данных и оптимизировать решения — но только по заранее заданным критериям. Выбор самих критериев — всегда ценностный акт. ИИ не несёт моральной ответственности и воспроизводит предубеждения тех, кто его создал. Алгоритмы кредитного скоринга принимают решения о судьбах людей, воспроизводя социальное неравенство из обучающих данных; алгоритмы ценообразования формируют рыночную реальность, но в интересах платформы, а не общества.</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Таким образом, ИИ может быть мощным инструментом в руках менеджера, но не самостоятельным субъектом управления. Делегирование ИИ права конструировать социальную реальность без человеческого контроля — это и есть «технология имперсональности» в её крайней форме: власть без субъекта и без ответственности.</w:t>
      </w:r>
    </w:p>
    <w:p>
      <w:r>
        <w:rPr>
          <w:sz w:val="24"/>
          <w:szCs w:val="24"/>
        </w:rPr>
        <w:t xml:space="preserve"/>
      </w:r>
    </w:p>
    <w:sectPr>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2026-05-14T21:00:40.362Z</dcterms:created>
  <dcterms:modified xsi:type="dcterms:W3CDTF">2026-05-14T21:00:40.363Z</dcterms:modified>
</cp:coreProperties>
</file>

<file path=docProps/custom.xml><?xml version="1.0" encoding="utf-8"?>
<Properties xmlns="http://schemas.openxmlformats.org/officeDocument/2006/custom-properties" xmlns:vt="http://schemas.openxmlformats.org/officeDocument/2006/docPropsVTypes"/>
</file>