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8EAA"/>
          <w:sz w:val="20"/>
        </w:rPr>
        <w:t>HACKATHON INESDI · BUSINESS INTELLIGENCE × SISTEMAS AGÉNTICOS</w:t>
        <w:br/>
      </w:r>
      <w:r>
        <w:rPr>
          <w:b/>
          <w:color w:val="151B20"/>
          <w:sz w:val="44"/>
        </w:rPr>
        <w:t>Monitorización y Alerta Temprana de Riesgo Crediticio e Impagados en SaaS/Fintech</w:t>
      </w:r>
    </w:p>
    <w:p>
      <w:pPr>
        <w:spacing w:after="360"/>
      </w:pPr>
      <w:r>
        <w:rPr>
          <w:i/>
          <w:color w:val="607079"/>
          <w:sz w:val="20"/>
        </w:rPr>
        <w:t>Autora: Sofia Montero | Institución: INESDI Business Techschool</w:t>
        <w:br/>
        <w:t>Repositorio: https://github.com/sofmonteja-dotcom/credit-risk-bi-agentico</w:t>
        <w:br/>
        <w:t>Base de Datos Cloud: Neon PostgreSQL (32,581 registros en producción)</w:t>
      </w:r>
    </w:p>
    <w:p>
      <w:pPr>
        <w:spacing w:after="280"/>
      </w:pPr>
      <w:r>
        <w:rPr>
          <w:color w:val="DBE3E6"/>
        </w:rPr>
        <w:t>―――――――――――――――――――――――――――――――――――――――――――――――――――――――</w:t>
      </w:r>
    </w:p>
    <w:p>
      <w:pPr>
        <w:pStyle w:val="Heading1"/>
      </w:pPr>
      <w:r>
        <w:t>1. Resumen Ejecutivo del Proyecto</w:t>
      </w:r>
    </w:p>
    <w:p>
      <w:pPr>
        <w:spacing w:line="276" w:lineRule="auto"/>
      </w:pPr>
      <w:r>
        <w:t>En modelos de negocio SaaS con cobros recurrentes y empresas Fintech de lending, la pérdida por impagos y el incremento del DSO (Days Sales Outstanding) representan el principal impacto negativo sobre el flujo de caja y EBITDA. Los sistemas tradicionales de recobro actúan de forma reactiva tras el vencimiento de la deuda. Este proyecto presenta una solución de Business Intelligence Agéntico que monitoriza la cartera en tiempo real sobre una base de datos cloud en Neon PostgreSQL, detecta perfiles en riesgo inminente de impago antes de la fecha límite y formula planes preventivos de mitigación.</w:t>
      </w:r>
    </w:p>
    <w:p>
      <w:pPr>
        <w:pStyle w:val="Heading1"/>
      </w:pPr>
      <w:r>
        <w:t>2. Base de Datos Cloud y Datos Reales</w:t>
      </w:r>
    </w:p>
    <w:p>
      <w:pPr>
        <w:spacing w:line="276" w:lineRule="auto"/>
      </w:pPr>
      <w:r>
        <w:t>Para garantizar un análisis riguroso y no simulado, se desplegó una infraestructura en Neon PostgreSQL Serverless:</w:t>
        <w:br/>
        <w:t>• Organización y Proyecto Neon: org-silent-band-87686821 / aged-union-42966233 (Región AWS us-east-2).</w:t>
        <w:br/>
        <w:t>• Dataset Real: Credit Risk Dataset (Kaggle / CC0 Public Domain) compuesto por 32,581 registros y 12 variables.</w:t>
        <w:br/>
        <w:t>• Ingesta y Limpieza: Se creó la tabla credit_risk y se gestionaron campos nulos en antigüedad laboral (person_emp_length) y tasas de interés (loan_int_rate) mediante ingesta optimizada por lotes.</w:t>
      </w:r>
    </w:p>
    <w:p>
      <w:pPr>
        <w:pStyle w:val="Heading1"/>
      </w:pPr>
      <w:r>
        <w:t>3. Arquitectura del Sistema Agéntico (5 Capas)</w:t>
      </w:r>
    </w:p>
    <w:p>
      <w:r>
        <w:t>El sistema está construido en cinco capas desacopladas que garantizan modularidad y escalabilidad:</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51B20"/>
          </w:tcPr>
          <w:p>
            <w:r>
              <w:rPr>
                <w:b/>
                <w:color w:val="FFFFFF"/>
                <w:sz w:val="19"/>
              </w:rPr>
              <w:t>Capa</w:t>
            </w:r>
          </w:p>
        </w:tc>
        <w:tc>
          <w:tcPr>
            <w:tcW w:type="dxa" w:w="3120"/>
            <w:shd w:val="clear" w:color="auto" w:fill="151B20"/>
          </w:tcPr>
          <w:p>
            <w:r>
              <w:rPr>
                <w:b/>
                <w:color w:val="FFFFFF"/>
                <w:sz w:val="19"/>
              </w:rPr>
              <w:t>Componente Tecnológico</w:t>
            </w:r>
          </w:p>
        </w:tc>
        <w:tc>
          <w:tcPr>
            <w:tcW w:type="dxa" w:w="3120"/>
            <w:shd w:val="clear" w:color="auto" w:fill="151B20"/>
          </w:tcPr>
          <w:p>
            <w:r>
              <w:rPr>
                <w:b/>
                <w:color w:val="FFFFFF"/>
                <w:sz w:val="19"/>
              </w:rPr>
              <w:t>Función Principal</w:t>
            </w:r>
          </w:p>
        </w:tc>
      </w:tr>
      <w:tr>
        <w:tc>
          <w:tcPr>
            <w:tcW w:type="dxa" w:w="3120"/>
          </w:tcPr>
          <w:p>
            <w:r>
              <w:rPr>
                <w:sz w:val="18"/>
              </w:rPr>
              <w:t>1. Persistencia</w:t>
            </w:r>
          </w:p>
        </w:tc>
        <w:tc>
          <w:tcPr>
            <w:tcW w:type="dxa" w:w="3120"/>
          </w:tcPr>
          <w:p>
            <w:r>
              <w:rPr>
                <w:sz w:val="18"/>
              </w:rPr>
              <w:t>Neon PostgreSQL Serverless</w:t>
            </w:r>
          </w:p>
        </w:tc>
        <w:tc>
          <w:tcPr>
            <w:tcW w:type="dxa" w:w="3120"/>
          </w:tcPr>
          <w:p>
            <w:r>
              <w:rPr>
                <w:sz w:val="18"/>
              </w:rPr>
              <w:t>Almacén relacional transaccional y analítico de 32,581 créditos.</w:t>
            </w:r>
          </w:p>
        </w:tc>
      </w:tr>
      <w:tr>
        <w:tc>
          <w:tcPr>
            <w:tcW w:type="dxa" w:w="3120"/>
            <w:shd w:val="clear" w:color="auto" w:fill="F6F8F9"/>
          </w:tcPr>
          <w:p>
            <w:r>
              <w:rPr>
                <w:sz w:val="18"/>
              </w:rPr>
              <w:t>2. Skill de Negocio</w:t>
            </w:r>
          </w:p>
        </w:tc>
        <w:tc>
          <w:tcPr>
            <w:tcW w:type="dxa" w:w="3120"/>
            <w:shd w:val="clear" w:color="auto" w:fill="F6F8F9"/>
          </w:tcPr>
          <w:p>
            <w:r>
              <w:rPr>
                <w:sz w:val="18"/>
              </w:rPr>
              <w:t>credit-risk-evaluator</w:t>
            </w:r>
          </w:p>
        </w:tc>
        <w:tc>
          <w:tcPr>
            <w:tcW w:type="dxa" w:w="3120"/>
            <w:shd w:val="clear" w:color="auto" w:fill="F6F8F9"/>
          </w:tcPr>
          <w:p>
            <w:r>
              <w:rPr>
                <w:sz w:val="18"/>
              </w:rPr>
              <w:t>Algoritmo heurístico de scoring (0 a 100) y semáforo de riesgo.</w:t>
            </w:r>
          </w:p>
        </w:tc>
      </w:tr>
      <w:tr>
        <w:tc>
          <w:tcPr>
            <w:tcW w:type="dxa" w:w="3120"/>
          </w:tcPr>
          <w:p>
            <w:r>
              <w:rPr>
                <w:sz w:val="18"/>
              </w:rPr>
              <w:t>3. Protocolo MCP</w:t>
            </w:r>
          </w:p>
        </w:tc>
        <w:tc>
          <w:tcPr>
            <w:tcW w:type="dxa" w:w="3120"/>
          </w:tcPr>
          <w:p>
            <w:r>
              <w:rPr>
                <w:sz w:val="18"/>
              </w:rPr>
              <w:t>Servidor neon-credit-risk-mcp</w:t>
            </w:r>
          </w:p>
        </w:tc>
        <w:tc>
          <w:tcPr>
            <w:tcW w:type="dxa" w:w="3120"/>
          </w:tcPr>
          <w:p>
            <w:r>
              <w:rPr>
                <w:sz w:val="18"/>
              </w:rPr>
              <w:t>4 herramientas oficiales (@modelcontextprotocol/sdk) para interactuar con IA.</w:t>
            </w:r>
          </w:p>
        </w:tc>
      </w:tr>
      <w:tr>
        <w:tc>
          <w:tcPr>
            <w:tcW w:type="dxa" w:w="3120"/>
            <w:shd w:val="clear" w:color="auto" w:fill="F6F8F9"/>
          </w:tcPr>
          <w:p>
            <w:r>
              <w:rPr>
                <w:sz w:val="18"/>
              </w:rPr>
              <w:t>4. Backend API</w:t>
            </w:r>
          </w:p>
        </w:tc>
        <w:tc>
          <w:tcPr>
            <w:tcW w:type="dxa" w:w="3120"/>
            <w:shd w:val="clear" w:color="auto" w:fill="F6F8F9"/>
          </w:tcPr>
          <w:p>
            <w:r>
              <w:rPr>
                <w:sz w:val="18"/>
              </w:rPr>
              <w:t>Express + TypeScript + Neon Driver</w:t>
            </w:r>
          </w:p>
        </w:tc>
        <w:tc>
          <w:tcPr>
            <w:tcW w:type="dxa" w:w="3120"/>
            <w:shd w:val="clear" w:color="auto" w:fill="F6F8F9"/>
          </w:tcPr>
          <w:p>
            <w:r>
              <w:rPr>
                <w:sz w:val="18"/>
              </w:rPr>
              <w:t>Endpoints REST (/api/kpis, /api/alerts, /api/agent/chat) con latencia &lt;150ms.</w:t>
            </w:r>
          </w:p>
        </w:tc>
      </w:tr>
      <w:tr>
        <w:tc>
          <w:tcPr>
            <w:tcW w:type="dxa" w:w="3120"/>
          </w:tcPr>
          <w:p>
            <w:r>
              <w:rPr>
                <w:sz w:val="18"/>
              </w:rPr>
              <w:t>5. Frontend</w:t>
            </w:r>
          </w:p>
        </w:tc>
        <w:tc>
          <w:tcPr>
            <w:tcW w:type="dxa" w:w="3120"/>
          </w:tcPr>
          <w:p>
            <w:r>
              <w:rPr>
                <w:sz w:val="18"/>
              </w:rPr>
              <w:t>Dashboard Web + Chart.js</w:t>
            </w:r>
          </w:p>
        </w:tc>
        <w:tc>
          <w:tcPr>
            <w:tcW w:type="dxa" w:w="3120"/>
          </w:tcPr>
          <w:p>
            <w:r>
              <w:rPr>
                <w:sz w:val="18"/>
              </w:rPr>
              <w:t>Visualización en vivo de métricas, radar de alertas y chat interactivo.</w:t>
            </w:r>
          </w:p>
        </w:tc>
      </w:tr>
    </w:tbl>
    <w:p>
      <w:pPr>
        <w:spacing w:after="200"/>
      </w:pPr>
    </w:p>
    <w:p>
      <w:pPr>
        <w:pStyle w:val="Heading1"/>
      </w:pPr>
      <w:r>
        <w:t>4. Skill Propia: Algoritmo de Scoring Crediticio (0 - 100 pts)</w:t>
      </w:r>
    </w:p>
    <w:p>
      <w:pPr>
        <w:spacing w:line="276" w:lineRule="auto"/>
      </w:pPr>
      <w:r>
        <w:t>La Skill credit-risk-evaluator evalúa determinísticamente cuatro factores clave de riesgo:</w:t>
        <w:br/>
        <w:t>1. Esfuerzo Financiero (Deuda / Ingreso - DTI): Hasta 35 puntos (crítico si &gt;= 40%).</w:t>
        <w:br/>
        <w:t>2. Calificación Crediticia (Loan Grade A-G): Hasta 30 puntos (grados D, E, F, G penalizados fuertemente).</w:t>
        <w:br/>
        <w:t>3. Historial de Impago Previo en Buró: Hasta 25 puntos (presencia de mora previa = 25 pts).</w:t>
        <w:br/>
        <w:t>4. Estabilidad Laboral y Régimen de Vivienda: Hasta 10 puntos (alquiler con &lt; 2 años de empleo).</w:t>
        <w:br/>
        <w:br/>
        <w:t>Clasificación resultante del semáforo:</w:t>
        <w:br/>
        <w:t>• 🟢 BAJO (0 - 39 pts): Solvencia saludable; apto para ampliación de cupo.</w:t>
        <w:br/>
        <w:t>• 🟡 MEDIO (40 - 69 pts): Monitoreo preventivo; recordatorios 5 días antes del corte.</w:t>
        <w:br/>
        <w:t>• 🔴 ALTO / CRÍTICO (70 - 100 pts): Alerta inmediata; requiere co-garantía, renegociación preventiva o bloqueo cautelar.</w:t>
      </w:r>
    </w:p>
    <w:p>
      <w:pPr>
        <w:pStyle w:val="Heading1"/>
      </w:pPr>
      <w:r>
        <w:t>5. Principales Hallazgos y KPIs de Business Intelligence</w:t>
      </w:r>
    </w:p>
    <w:p>
      <w:pPr>
        <w:spacing w:line="276" w:lineRule="auto"/>
      </w:pPr>
      <w:r>
        <w:t>A partir de las consultas analíticas sobre la cartera completa en Neon PostgreSQL se obtuvieron los siguientes resultados:</w:t>
        <w:br/>
        <w:t>• Exposición Total Colocada: $312,431,300 USD.</w:t>
        <w:br/>
        <w:t>• Tasa Global de Impago (Default Rate): 21.82% (7,108 clientes en impago de 32,581).</w:t>
        <w:br/>
        <w:t>• Ticket Medio de Préstamo: $9,589.37 USD frente a un ingreso medio de $66,074.85 USD.</w:t>
        <w:br/>
        <w:t>• Validación del Ratio Esfuerzo: Aquellos clientes con un ratio DTI &gt;= 40% presentan una tasa de impago del 72.4%, triplicando la media global de la cartera.</w:t>
        <w:br/>
        <w:t>• Concentración por Grado: Los grados D, E, F y G agrupan más del 65% de las pérdidas crediticias totales.</w:t>
      </w:r>
    </w:p>
    <w:p>
      <w:pPr>
        <w:pStyle w:val="Heading1"/>
      </w:pPr>
      <w:r>
        <w:t>6. Verificación y Batería de Pruebas Obligatorias</w:t>
      </w:r>
    </w:p>
    <w:p>
      <w:pPr>
        <w:spacing w:line="276" w:lineRule="auto"/>
      </w:pPr>
      <w:r>
        <w:t>Se implementó y superó con éxito la matriz de las 9 pruebas obligatorias del Hackathon INESDI, validada mediante el test runner de Node.js (tests/system.test.ts):</w:t>
        <w:br/>
        <w:t>1. Agente: Procesa lenguaje natural y ejecuta diagnósticos crediticios (Aprobado).</w:t>
        <w:br/>
        <w:t>2. Skill: Cálculo determinista y clasificación precisa de severidad (Aprobado).</w:t>
        <w:br/>
        <w:t>3. MCP: Herramientas estándar con respuestas tipadas vía STDIO (Aprobado).</w:t>
        <w:br/>
        <w:t>4. Base de Datos: Conexión y consulta exitosa de 32,581 registros en Neon Cloud (Aprobado).</w:t>
        <w:br/>
        <w:t>5. Backend: Endpoints analíticos operativos en Node.js/Express (Aprobado).</w:t>
        <w:br/>
        <w:t>6. Frontend: Dashboard visual con Chart.js, radar de alertas y chat (Aprobado).</w:t>
        <w:br/>
        <w:t>7. Flujo Completo: Ciclo de consulta usuario -&gt; agente -&gt; Neon -&gt; mitigación (Aprobado).</w:t>
        <w:br/>
        <w:t>8. Gestión de Errores: Manejo controlado de datos nulos y valores atípicos (Aprobado).</w:t>
        <w:br/>
        <w:t>9. Validación BI: Coincidencia del 100% entre métricas SQL y los datos crudos (Aprobado).</w:t>
      </w:r>
    </w:p>
    <w:p>
      <w:pPr>
        <w:pStyle w:val="Heading1"/>
      </w:pPr>
      <w:r>
        <w:t>7. Reflexión y Aprendizaje (Metodología Kaospilot)</w:t>
      </w:r>
    </w:p>
    <w:p>
      <w:pPr>
        <w:spacing w:line="276" w:lineRule="auto"/>
      </w:pPr>
      <w:r>
        <w:t>El documento REFLEXION.md recoge el aprendizaje individual y grupal, destacando:</w:t>
        <w:br/>
        <w:t>• Valor del Vibe Coding con rigor arquitectónico: Separar datos, agentes y herramientas acelera la entrega manteniendo la robustez de nivel empresarial.</w:t>
        <w:br/>
        <w:t>• Tres Compromisos de Mejora: 1) Mantener el enfoque de validación empírica y pruebas rigurosas; 2) Cambiar la adopción de configuraciones por defecto, analizando siempre el pooler de conexiones; 3) Experimentar con agentes colaborativos multi-rol que negocien automáticamente acuerdos de pago.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