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6"/>
          <w:szCs w:val="36"/>
        </w:rPr>
      </w:pPr>
      <w:bookmarkStart w:id="0" w:name="_GoBack"/>
      <w:r>
        <w:rPr>
          <w:rFonts w:hint="eastAsia"/>
          <w:sz w:val="36"/>
          <w:szCs w:val="36"/>
        </w:rPr>
        <w:t>策略</w:t>
      </w:r>
      <w:r>
        <w:rPr>
          <w:rFonts w:hint="eastAsia"/>
          <w:sz w:val="36"/>
          <w:szCs w:val="36"/>
          <w:lang w:eastAsia="zh-CN"/>
        </w:rPr>
        <w:t>及风险控制模块功能需求和基本设计</w:t>
      </w:r>
    </w:p>
    <w:bookmarkEnd w:id="0"/>
    <w:p>
      <w:pPr>
        <w:rPr>
          <w:rFonts w:hint="eastAsia"/>
          <w:sz w:val="28"/>
          <w:szCs w:val="28"/>
          <w:lang w:eastAsia="zh-CN"/>
        </w:rPr>
      </w:pPr>
      <w:r>
        <w:rPr>
          <w:rFonts w:hint="eastAsia"/>
          <w:sz w:val="36"/>
          <w:szCs w:val="36"/>
          <w:lang w:eastAsia="zh-CN"/>
        </w:rPr>
        <w:t>策略结构定义：</w:t>
      </w:r>
      <w:r>
        <w:rPr>
          <w:rFonts w:hint="eastAsia"/>
          <w:sz w:val="28"/>
          <w:szCs w:val="28"/>
          <w:lang w:eastAsia="zh-CN"/>
        </w:rPr>
        <w:t>策略实例为策略的一个运行实体对象，包含两个子对象开仓策略和平仓策略，所有的策略实例轮询方式运行在一个线程上，以保证较低的时间延迟。策略通过对行情条件和时间条件轮询进行条件判断和相应的交易报单。在成交回报回调函数中更新策略持仓和其它持仓。</w:t>
      </w:r>
    </w:p>
    <w:p>
      <w:pPr>
        <w:rPr>
          <w:rFonts w:hint="eastAsia"/>
          <w:sz w:val="28"/>
          <w:szCs w:val="28"/>
          <w:lang w:eastAsia="zh-CN"/>
        </w:rPr>
      </w:pPr>
      <w:r>
        <w:rPr>
          <w:rFonts w:hint="eastAsia"/>
          <w:sz w:val="28"/>
          <w:szCs w:val="28"/>
          <w:lang w:eastAsia="zh-CN"/>
        </w:rPr>
        <w:t>策略实例的生命周期：从策略模板生成策略实例，启动策略实例运行，分别经历：启动（未开仓），开仓条件触发，建仓，平仓条件触发，平仓结束策略实例这样五种状态。</w:t>
      </w:r>
    </w:p>
    <w:p>
      <w:pPr>
        <w:rPr>
          <w:rFonts w:hint="eastAsia"/>
          <w:sz w:val="28"/>
          <w:szCs w:val="28"/>
          <w:lang w:eastAsia="zh-CN"/>
        </w:rPr>
      </w:pPr>
      <w:r>
        <w:rPr>
          <w:rFonts w:hint="eastAsia"/>
          <w:sz w:val="28"/>
          <w:szCs w:val="28"/>
          <w:lang w:eastAsia="zh-CN"/>
        </w:rPr>
        <w:t>策略实例的产生：从策略模板库中选择模板，补充策略或修改运行参数：交易代码、交易数量、配置修改平仓策略参数等。另一种策略实例的生成方式为：风控系统的配置会产生风控策略实例，或者下单板对自定义组合的操作，如限价单的使用，会自动产生并配置策略实例（由策略模板中取出并填充策略实例参数）运行。</w:t>
      </w:r>
    </w:p>
    <w:p>
      <w:pPr>
        <w:rPr>
          <w:rFonts w:hint="eastAsia"/>
          <w:sz w:val="28"/>
          <w:szCs w:val="28"/>
          <w:lang w:eastAsia="zh-CN"/>
        </w:rPr>
      </w:pPr>
      <w:r>
        <w:rPr>
          <w:rFonts w:hint="eastAsia"/>
          <w:sz w:val="28"/>
          <w:szCs w:val="28"/>
          <w:lang w:eastAsia="zh-CN"/>
        </w:rPr>
        <w:t>注：策略实例的生命周期在软件退出时，终止，需要提醒用户，对于已有开仓的，要处理好策略的现有持仓——平仓或者以后再处理。</w:t>
      </w:r>
    </w:p>
    <w:p>
      <w:pPr>
        <w:pStyle w:val="7"/>
        <w:numPr>
          <w:ilvl w:val="0"/>
          <w:numId w:val="1"/>
        </w:numPr>
        <w:spacing w:line="220" w:lineRule="atLeast"/>
        <w:ind w:firstLineChars="0"/>
      </w:pPr>
      <w:r>
        <w:rPr>
          <w:rFonts w:hint="eastAsia"/>
        </w:rPr>
        <w:t>根据设定时机和运行位置，策略可分为：</w:t>
      </w:r>
    </w:p>
    <w:p>
      <w:pPr>
        <w:pStyle w:val="7"/>
        <w:numPr>
          <w:ilvl w:val="1"/>
          <w:numId w:val="1"/>
        </w:numPr>
        <w:spacing w:line="220" w:lineRule="atLeast"/>
        <w:ind w:firstLineChars="0"/>
      </w:pPr>
      <w:r>
        <w:rPr>
          <w:rFonts w:hint="eastAsia"/>
        </w:rPr>
        <w:t>本机策略，和本终端程序一起运行在用户PC上；</w:t>
      </w:r>
    </w:p>
    <w:p>
      <w:pPr>
        <w:pStyle w:val="7"/>
        <w:numPr>
          <w:ilvl w:val="1"/>
          <w:numId w:val="1"/>
        </w:numPr>
        <w:spacing w:line="220" w:lineRule="atLeast"/>
        <w:ind w:firstLineChars="0"/>
      </w:pPr>
      <w:r>
        <w:rPr>
          <w:rFonts w:hint="eastAsia"/>
        </w:rPr>
        <w:t>后台策略，运行在我们自己的服务器上；</w:t>
      </w:r>
    </w:p>
    <w:p>
      <w:pPr>
        <w:pStyle w:val="7"/>
        <w:numPr>
          <w:ilvl w:val="1"/>
          <w:numId w:val="1"/>
        </w:numPr>
        <w:spacing w:line="220" w:lineRule="atLeast"/>
        <w:ind w:firstLineChars="0"/>
      </w:pPr>
      <w:r>
        <w:rPr>
          <w:rFonts w:hint="eastAsia"/>
        </w:rPr>
        <w:t>服务器条件单，指提交给CTP服务器上执行的条件单，服务器条件单受制于CTP规范；</w:t>
      </w:r>
    </w:p>
    <w:p>
      <w:pPr>
        <w:pStyle w:val="7"/>
        <w:numPr>
          <w:ilvl w:val="1"/>
          <w:numId w:val="1"/>
        </w:numPr>
        <w:spacing w:line="220" w:lineRule="atLeast"/>
        <w:ind w:firstLineChars="0"/>
      </w:pPr>
      <w:r>
        <w:rPr>
          <w:rFonts w:hint="eastAsia"/>
        </w:rPr>
        <w:t>预埋单，指</w:t>
      </w:r>
      <w:r>
        <w:rPr>
          <w:rFonts w:hint="eastAsia"/>
          <w:lang w:eastAsia="zh-CN"/>
        </w:rPr>
        <w:t>交易所开市前约一个小时内的</w:t>
      </w:r>
      <w:r>
        <w:rPr>
          <w:rFonts w:hint="eastAsia"/>
          <w:lang w:val="en-US" w:eastAsia="zh-CN"/>
        </w:rPr>
        <w:t>CTP</w:t>
      </w:r>
      <w:r>
        <w:rPr>
          <w:rFonts w:hint="eastAsia"/>
          <w:lang w:eastAsia="zh-CN"/>
        </w:rPr>
        <w:t>主机打开的</w:t>
      </w:r>
      <w:r>
        <w:rPr>
          <w:rFonts w:hint="eastAsia"/>
        </w:rPr>
        <w:t>非交易时段报入给CTP服务器，当交易</w:t>
      </w:r>
      <w:r>
        <w:rPr>
          <w:rFonts w:hint="eastAsia"/>
          <w:lang w:eastAsia="zh-CN"/>
        </w:rPr>
        <w:t>所</w:t>
      </w:r>
      <w:r>
        <w:rPr>
          <w:rFonts w:hint="eastAsia"/>
        </w:rPr>
        <w:t>一开</w:t>
      </w:r>
      <w:r>
        <w:rPr>
          <w:rFonts w:hint="eastAsia"/>
          <w:lang w:eastAsia="zh-CN"/>
        </w:rPr>
        <w:t>市</w:t>
      </w:r>
      <w:r>
        <w:rPr>
          <w:rFonts w:hint="eastAsia"/>
        </w:rPr>
        <w:t>即被触发的指令，可包含报单和撤单，预埋单受制于CTP规范；</w:t>
      </w:r>
    </w:p>
    <w:p>
      <w:pPr>
        <w:spacing w:line="220" w:lineRule="atLeast"/>
        <w:ind w:firstLine="420"/>
      </w:pPr>
      <w:r>
        <w:rPr>
          <w:rFonts w:hint="eastAsia"/>
        </w:rPr>
        <w:t>说明：</w:t>
      </w:r>
    </w:p>
    <w:p>
      <w:pPr>
        <w:pStyle w:val="7"/>
        <w:numPr>
          <w:ilvl w:val="0"/>
          <w:numId w:val="2"/>
        </w:numPr>
        <w:spacing w:line="220" w:lineRule="atLeast"/>
        <w:ind w:firstLineChars="0"/>
      </w:pPr>
      <w:r>
        <w:rPr>
          <w:rFonts w:hint="eastAsia"/>
        </w:rPr>
        <w:t>同一个终端版本只会支持本机策略和后台策略其中的一种，没有同时支持本机策略和后台策略的终端版本，本机策略和后台策略仅仅是运行位置不同，没有其它区别，它们都不是运行在CTP服务器上，因此本说明文档中对这两种策略统称为“本地策略”（或本地单），对服务器条件单和预埋单统称为“服务器策略”（或服务器单）以便描述；</w:t>
      </w:r>
    </w:p>
    <w:p>
      <w:pPr>
        <w:pStyle w:val="7"/>
        <w:numPr>
          <w:ilvl w:val="0"/>
          <w:numId w:val="2"/>
        </w:numPr>
        <w:spacing w:line="220" w:lineRule="atLeast"/>
        <w:ind w:firstLineChars="0"/>
      </w:pPr>
      <w:r>
        <w:rPr>
          <w:rFonts w:hint="eastAsia"/>
        </w:rPr>
        <w:t>服务器策略因受制于CTP规范，将另行阐述。本地策略不受制于CTP规范，有着非常丰富的选项设定。除非特殊说明，否则下文中的策略均指本地策略。</w:t>
      </w:r>
    </w:p>
    <w:p>
      <w:pPr>
        <w:pStyle w:val="7"/>
        <w:numPr>
          <w:ilvl w:val="0"/>
          <w:numId w:val="1"/>
        </w:numPr>
        <w:spacing w:line="220" w:lineRule="atLeast"/>
        <w:ind w:firstLineChars="0"/>
      </w:pPr>
      <w:r>
        <w:rPr>
          <w:rFonts w:hint="eastAsia"/>
        </w:rPr>
        <w:t>从仓位角度，策略可分为：</w:t>
      </w:r>
    </w:p>
    <w:p>
      <w:pPr>
        <w:pStyle w:val="7"/>
        <w:numPr>
          <w:ilvl w:val="1"/>
          <w:numId w:val="1"/>
        </w:numPr>
        <w:spacing w:line="220" w:lineRule="atLeast"/>
        <w:ind w:firstLineChars="0"/>
        <w:rPr>
          <w:lang w:val="en-US"/>
        </w:rPr>
      </w:pPr>
      <w:r>
        <w:rPr>
          <w:rFonts w:hint="eastAsia"/>
        </w:rPr>
        <w:t>开仓策略</w:t>
      </w:r>
      <w:r>
        <w:rPr>
          <w:rFonts w:hint="eastAsia"/>
          <w:lang w:eastAsia="zh-CN"/>
        </w:rPr>
        <w:t>：</w:t>
      </w:r>
      <w:r>
        <w:rPr>
          <w:rFonts w:hint="eastAsia"/>
          <w:lang w:val="en-US" w:eastAsia="zh-CN"/>
        </w:rPr>
        <w:t xml:space="preserve">      </w:t>
      </w:r>
    </w:p>
    <w:p>
      <w:pPr>
        <w:pStyle w:val="7"/>
        <w:numPr>
          <w:ilvl w:val="1"/>
          <w:numId w:val="1"/>
        </w:numPr>
        <w:spacing w:line="220" w:lineRule="atLeast"/>
        <w:ind w:firstLineChars="0"/>
      </w:pPr>
      <w:r>
        <w:rPr>
          <w:rFonts w:hint="eastAsia"/>
        </w:rPr>
        <w:t>平仓策略</w:t>
      </w:r>
    </w:p>
    <w:p>
      <w:pPr>
        <w:pStyle w:val="7"/>
        <w:numPr>
          <w:ilvl w:val="2"/>
          <w:numId w:val="1"/>
        </w:numPr>
        <w:spacing w:line="220" w:lineRule="atLeast"/>
        <w:ind w:firstLineChars="0"/>
      </w:pPr>
      <w:r>
        <w:rPr>
          <w:rFonts w:hint="eastAsia"/>
        </w:rPr>
        <w:t>以下持仓可设定平仓策略</w:t>
      </w:r>
    </w:p>
    <w:p>
      <w:pPr>
        <w:pStyle w:val="7"/>
        <w:numPr>
          <w:ilvl w:val="3"/>
          <w:numId w:val="1"/>
        </w:numPr>
        <w:spacing w:line="220" w:lineRule="atLeast"/>
        <w:ind w:firstLineChars="0"/>
      </w:pPr>
      <w:r>
        <w:rPr>
          <w:rFonts w:hint="eastAsia"/>
        </w:rPr>
        <w:t>手动开仓的仓位，开仓前后均可启动平仓策略；</w:t>
      </w:r>
    </w:p>
    <w:p>
      <w:pPr>
        <w:pStyle w:val="7"/>
        <w:numPr>
          <w:ilvl w:val="3"/>
          <w:numId w:val="1"/>
        </w:numPr>
        <w:spacing w:line="220" w:lineRule="atLeast"/>
        <w:ind w:firstLineChars="0"/>
      </w:pPr>
      <w:r>
        <w:rPr>
          <w:rFonts w:hint="eastAsia"/>
        </w:rPr>
        <w:t>开仓策略建立的仓位，仅可在开仓前设定依赖的平仓策略。若未设定平仓策略，开仓后只可以手动平仓</w:t>
      </w:r>
      <w:r>
        <w:rPr>
          <w:rFonts w:hint="eastAsia"/>
          <w:lang w:eastAsia="zh-CN"/>
        </w:rPr>
        <w:t>。</w:t>
      </w:r>
    </w:p>
    <w:p>
      <w:pPr>
        <w:pStyle w:val="7"/>
        <w:numPr>
          <w:ilvl w:val="2"/>
          <w:numId w:val="1"/>
        </w:numPr>
        <w:spacing w:line="220" w:lineRule="atLeast"/>
        <w:ind w:firstLineChars="0"/>
      </w:pPr>
      <w:r>
        <w:rPr>
          <w:rFonts w:hint="eastAsia"/>
        </w:rPr>
        <w:t>设定相应平仓策略的价格条件时，可选择按“持仓均价”或者“单笔”的方式设定触发价；</w:t>
      </w:r>
    </w:p>
    <w:p>
      <w:pPr>
        <w:pStyle w:val="7"/>
        <w:numPr>
          <w:ilvl w:val="3"/>
          <w:numId w:val="1"/>
        </w:numPr>
        <w:spacing w:line="220" w:lineRule="atLeast"/>
        <w:ind w:firstLineChars="0"/>
      </w:pPr>
      <w:r>
        <w:rPr>
          <w:rFonts w:hint="eastAsia"/>
        </w:rPr>
        <w:t>若按持仓均价方式，将以合约（属于组合合约的按组合合约）整体持仓均价计算止盈止损。平仓策略启动后再由手动开仓的订单，也计入持仓均价。</w:t>
      </w:r>
    </w:p>
    <w:p>
      <w:pPr>
        <w:pStyle w:val="7"/>
        <w:numPr>
          <w:ilvl w:val="3"/>
          <w:numId w:val="1"/>
        </w:numPr>
        <w:spacing w:line="220" w:lineRule="atLeast"/>
        <w:ind w:firstLineChars="0"/>
      </w:pPr>
      <w:r>
        <w:rPr>
          <w:rFonts w:hint="eastAsia"/>
        </w:rPr>
        <w:t>若按单笔方式，每笔成交均独立应用策略，互不影响；</w:t>
      </w:r>
    </w:p>
    <w:p>
      <w:pPr>
        <w:spacing w:line="220" w:lineRule="atLeast"/>
        <w:ind w:firstLine="420"/>
      </w:pPr>
      <w:r>
        <w:rPr>
          <w:rFonts w:hint="eastAsia"/>
        </w:rPr>
        <w:t>说明：</w:t>
      </w:r>
    </w:p>
    <w:p>
      <w:pPr>
        <w:pStyle w:val="7"/>
        <w:numPr>
          <w:ilvl w:val="0"/>
          <w:numId w:val="2"/>
        </w:numPr>
        <w:spacing w:line="220" w:lineRule="atLeast"/>
        <w:ind w:firstLineChars="0"/>
      </w:pPr>
      <w:r>
        <w:rPr>
          <w:rFonts w:hint="eastAsia"/>
        </w:rPr>
        <w:t>一个策略要么开仓要么平仓，不可以既开仓又平仓。但</w:t>
      </w:r>
      <w:r>
        <w:rPr>
          <w:rFonts w:hint="eastAsia"/>
          <w:lang w:eastAsia="zh-CN"/>
        </w:rPr>
        <w:t>交易平台</w:t>
      </w:r>
      <w:r>
        <w:rPr>
          <w:rFonts w:hint="eastAsia"/>
        </w:rPr>
        <w:t>会根据多空方向和现有仓位进行灵活地开仓或平仓操作，如rb1701已有10手多单，现在一开仓策略要对rb1701开6手空单，实际的</w:t>
      </w:r>
      <w:r>
        <w:rPr>
          <w:rFonts w:hint="eastAsia"/>
          <w:lang w:eastAsia="zh-CN"/>
        </w:rPr>
        <w:t>交易平台执行层</w:t>
      </w:r>
      <w:r>
        <w:rPr>
          <w:rFonts w:hint="eastAsia"/>
        </w:rPr>
        <w:t>操作会是对rb1701平6手多单，最终rb1701的仓位为4手多单，0手空单。即便</w:t>
      </w:r>
      <w:r>
        <w:rPr>
          <w:rFonts w:hint="eastAsia"/>
          <w:lang w:eastAsia="zh-CN"/>
        </w:rPr>
        <w:t>交易平台底层</w:t>
      </w:r>
      <w:r>
        <w:rPr>
          <w:rFonts w:hint="eastAsia"/>
        </w:rPr>
        <w:t>执行的是平仓，但该策略</w:t>
      </w:r>
      <w:r>
        <w:rPr>
          <w:rFonts w:hint="eastAsia"/>
          <w:lang w:eastAsia="zh-CN"/>
        </w:rPr>
        <w:t>从逻辑操作角度</w:t>
      </w:r>
      <w:r>
        <w:rPr>
          <w:rFonts w:hint="eastAsia"/>
        </w:rPr>
        <w:t>依然是开仓策略。实际的</w:t>
      </w:r>
      <w:r>
        <w:rPr>
          <w:rFonts w:hint="eastAsia"/>
          <w:lang w:eastAsia="zh-CN"/>
        </w:rPr>
        <w:t>底层</w:t>
      </w:r>
      <w:r>
        <w:rPr>
          <w:rFonts w:hint="eastAsia"/>
        </w:rPr>
        <w:t>操作不影响策略性质，因为策略在定义时，已明确指定开仓或平仓。</w:t>
      </w:r>
    </w:p>
    <w:p>
      <w:pPr>
        <w:pStyle w:val="7"/>
        <w:numPr>
          <w:ilvl w:val="0"/>
          <w:numId w:val="1"/>
        </w:numPr>
        <w:spacing w:line="220" w:lineRule="atLeast"/>
        <w:ind w:firstLineChars="0"/>
      </w:pPr>
      <w:r>
        <w:rPr>
          <w:rFonts w:hint="eastAsia"/>
        </w:rPr>
        <w:t>根据策略之间的关联关系，策略可分为：</w:t>
      </w:r>
    </w:p>
    <w:p>
      <w:pPr>
        <w:pStyle w:val="7"/>
        <w:numPr>
          <w:ilvl w:val="1"/>
          <w:numId w:val="1"/>
        </w:numPr>
        <w:spacing w:line="220" w:lineRule="atLeast"/>
        <w:ind w:firstLineChars="0"/>
      </w:pPr>
      <w:r>
        <w:rPr>
          <w:rFonts w:hint="eastAsia"/>
        </w:rPr>
        <w:t>独立策略。报单的合约、数量、价格与其它策略无关。独立策略既可以是开仓策略也可以是平仓策略；独立的平仓策略，仅适用于手动开仓的仓位。</w:t>
      </w:r>
    </w:p>
    <w:p>
      <w:pPr>
        <w:pStyle w:val="7"/>
        <w:numPr>
          <w:ilvl w:val="1"/>
          <w:numId w:val="1"/>
        </w:numPr>
        <w:spacing w:line="220" w:lineRule="atLeast"/>
        <w:ind w:firstLineChars="0"/>
      </w:pPr>
      <w:r>
        <w:rPr>
          <w:rFonts w:hint="eastAsia"/>
        </w:rPr>
        <w:t>依赖策略。报单的合约、数量或者价格，需要依赖于其它策略而不可自行设定。依赖策略只可以是平仓策略，不可以是开仓策略。</w:t>
      </w:r>
    </w:p>
    <w:p>
      <w:pPr>
        <w:spacing w:line="220" w:lineRule="atLeast"/>
        <w:ind w:firstLine="420"/>
      </w:pPr>
      <w:r>
        <w:rPr>
          <w:rFonts w:hint="eastAsia"/>
        </w:rPr>
        <w:t>说明：</w:t>
      </w:r>
    </w:p>
    <w:p>
      <w:pPr>
        <w:pStyle w:val="7"/>
        <w:numPr>
          <w:ilvl w:val="0"/>
          <w:numId w:val="2"/>
        </w:numPr>
        <w:spacing w:line="220" w:lineRule="atLeast"/>
        <w:ind w:firstLineChars="0"/>
      </w:pPr>
      <w:r>
        <w:rPr>
          <w:rFonts w:hint="eastAsia"/>
        </w:rPr>
        <w:t>一个策略要么是独立策略要么是依赖策略，不能既是独立策略又是依赖策略。</w:t>
      </w:r>
    </w:p>
    <w:p>
      <w:pPr>
        <w:pStyle w:val="7"/>
        <w:numPr>
          <w:ilvl w:val="0"/>
          <w:numId w:val="1"/>
        </w:numPr>
        <w:spacing w:line="220" w:lineRule="atLeast"/>
        <w:ind w:firstLineChars="0"/>
      </w:pPr>
      <w:r>
        <w:rPr>
          <w:rFonts w:hint="eastAsia"/>
        </w:rPr>
        <w:t>策略报单对象：</w:t>
      </w:r>
    </w:p>
    <w:p>
      <w:pPr>
        <w:pStyle w:val="7"/>
        <w:numPr>
          <w:ilvl w:val="1"/>
          <w:numId w:val="1"/>
        </w:numPr>
        <w:spacing w:line="220" w:lineRule="atLeast"/>
        <w:ind w:firstLineChars="0"/>
      </w:pPr>
      <w:r>
        <w:rPr>
          <w:rFonts w:hint="eastAsia"/>
        </w:rPr>
        <w:t>产品（如螺纹钢），适用于平仓策略；</w:t>
      </w:r>
    </w:p>
    <w:p>
      <w:pPr>
        <w:pStyle w:val="7"/>
        <w:numPr>
          <w:ilvl w:val="1"/>
          <w:numId w:val="1"/>
        </w:numPr>
        <w:spacing w:line="220" w:lineRule="atLeast"/>
        <w:ind w:firstLineChars="0"/>
      </w:pPr>
      <w:r>
        <w:rPr>
          <w:rFonts w:hint="eastAsia"/>
        </w:rPr>
        <w:t>合约（如rb1610），适用于开仓和平仓策略；</w:t>
      </w:r>
    </w:p>
    <w:p>
      <w:pPr>
        <w:pStyle w:val="7"/>
        <w:numPr>
          <w:ilvl w:val="1"/>
          <w:numId w:val="1"/>
        </w:numPr>
        <w:spacing w:line="220" w:lineRule="atLeast"/>
        <w:ind w:firstLineChars="0"/>
      </w:pPr>
      <w:r>
        <w:rPr>
          <w:rFonts w:hint="eastAsia"/>
        </w:rPr>
        <w:t>用户自定义的组合合约，适用于开仓和平仓策略；</w:t>
      </w:r>
    </w:p>
    <w:p>
      <w:pPr>
        <w:spacing w:line="220" w:lineRule="atLeast"/>
        <w:ind w:firstLine="420"/>
      </w:pPr>
      <w:r>
        <w:rPr>
          <w:rFonts w:hint="eastAsia"/>
        </w:rPr>
        <w:t>说明：</w:t>
      </w:r>
    </w:p>
    <w:p>
      <w:pPr>
        <w:pStyle w:val="7"/>
        <w:numPr>
          <w:ilvl w:val="0"/>
          <w:numId w:val="2"/>
        </w:numPr>
        <w:spacing w:line="220" w:lineRule="atLeast"/>
        <w:ind w:firstLineChars="0"/>
      </w:pPr>
      <w:r>
        <w:rPr>
          <w:rFonts w:hint="eastAsia"/>
        </w:rPr>
        <w:t>以上报单对象可全部或部分设定，当设定多项时，进行叠加汇总；</w:t>
      </w:r>
    </w:p>
    <w:p>
      <w:pPr>
        <w:pStyle w:val="7"/>
        <w:numPr>
          <w:ilvl w:val="0"/>
          <w:numId w:val="2"/>
        </w:numPr>
        <w:spacing w:line="220" w:lineRule="atLeast"/>
        <w:ind w:firstLineChars="0"/>
      </w:pPr>
      <w:r>
        <w:rPr>
          <w:rFonts w:hint="eastAsia"/>
        </w:rPr>
        <w:t>只有独立策略才能设定报单对象，依赖策略不可设定。</w:t>
      </w:r>
    </w:p>
    <w:p>
      <w:pPr>
        <w:pStyle w:val="7"/>
        <w:numPr>
          <w:ilvl w:val="0"/>
          <w:numId w:val="1"/>
        </w:numPr>
        <w:spacing w:line="220" w:lineRule="atLeast"/>
        <w:ind w:firstLineChars="0"/>
      </w:pPr>
      <w:r>
        <w:rPr>
          <w:rFonts w:hint="eastAsia"/>
        </w:rPr>
        <w:t>手动或平仓策略均不可对组合合约拆分平仓。</w:t>
      </w:r>
    </w:p>
    <w:p>
      <w:pPr>
        <w:pStyle w:val="7"/>
        <w:numPr>
          <w:ilvl w:val="0"/>
          <w:numId w:val="1"/>
        </w:numPr>
        <w:spacing w:line="220" w:lineRule="atLeast"/>
        <w:ind w:firstLineChars="0"/>
      </w:pPr>
      <w:r>
        <w:rPr>
          <w:rFonts w:hint="eastAsia"/>
        </w:rPr>
        <w:t>清仓</w:t>
      </w:r>
    </w:p>
    <w:p>
      <w:pPr>
        <w:pStyle w:val="7"/>
        <w:spacing w:line="220" w:lineRule="atLeast"/>
        <w:ind w:left="720" w:firstLine="0" w:firstLineChars="0"/>
      </w:pPr>
      <w:r>
        <w:rPr>
          <w:rFonts w:hint="eastAsia"/>
        </w:rPr>
        <w:t>清仓，</w:t>
      </w:r>
      <w:r>
        <w:rPr>
          <w:rFonts w:hint="eastAsia"/>
          <w:lang w:eastAsia="zh-CN"/>
        </w:rPr>
        <w:t>为对手工建仓的所有仓位的平仓。强行平仓是另一个概念，是在风险控制系统中的一种操作。</w:t>
      </w:r>
    </w:p>
    <w:p>
      <w:pPr>
        <w:pStyle w:val="7"/>
        <w:spacing w:line="220" w:lineRule="atLeast"/>
        <w:ind w:left="720" w:firstLine="0" w:firstLineChars="0"/>
        <w:rPr>
          <w:rFonts w:hint="eastAsia" w:eastAsia="微软雅黑"/>
          <w:lang w:eastAsia="zh-CN"/>
        </w:rPr>
      </w:pPr>
      <w:r>
        <w:rPr>
          <w:rFonts w:hint="eastAsia"/>
          <w:lang w:eastAsia="zh-CN"/>
        </w:rPr>
        <w:t>清仓时，按照手工交易持仓中的仓位（其中的仓位为逻辑汇总的仓位）进行依次平仓操作。</w:t>
      </w:r>
    </w:p>
    <w:p>
      <w:pPr>
        <w:pStyle w:val="7"/>
        <w:spacing w:line="220" w:lineRule="atLeast"/>
        <w:ind w:left="720" w:firstLine="0" w:firstLineChars="0"/>
      </w:pPr>
      <w:r>
        <w:rPr>
          <w:rFonts w:hint="eastAsia"/>
        </w:rPr>
        <w:t>说明：</w:t>
      </w:r>
    </w:p>
    <w:p>
      <w:pPr>
        <w:pStyle w:val="7"/>
        <w:numPr>
          <w:ilvl w:val="0"/>
          <w:numId w:val="2"/>
        </w:numPr>
        <w:spacing w:line="220" w:lineRule="atLeast"/>
        <w:ind w:firstLineChars="0"/>
      </w:pPr>
      <w:r>
        <w:rPr>
          <w:rFonts w:hint="eastAsia"/>
        </w:rPr>
        <w:t>清仓报单时使用市价，不支持市价报单的交易所则采用涨跌停板价格限价报单；</w:t>
      </w:r>
    </w:p>
    <w:p>
      <w:pPr>
        <w:pStyle w:val="7"/>
        <w:numPr>
          <w:ilvl w:val="0"/>
          <w:numId w:val="2"/>
        </w:numPr>
        <w:spacing w:line="220" w:lineRule="atLeast"/>
        <w:ind w:firstLineChars="0"/>
      </w:pPr>
      <w:r>
        <w:rPr>
          <w:rFonts w:hint="eastAsia"/>
        </w:rPr>
        <w:t>清仓将对手动建立的所有</w:t>
      </w:r>
      <w:r>
        <w:rPr>
          <w:rFonts w:hint="eastAsia"/>
          <w:lang w:eastAsia="zh-CN"/>
        </w:rPr>
        <w:t>逻辑</w:t>
      </w:r>
      <w:r>
        <w:rPr>
          <w:rFonts w:hint="eastAsia"/>
        </w:rPr>
        <w:t>仓位执行平仓操作。</w:t>
      </w:r>
    </w:p>
    <w:p>
      <w:pPr>
        <w:pStyle w:val="7"/>
        <w:numPr>
          <w:ilvl w:val="0"/>
          <w:numId w:val="2"/>
        </w:numPr>
        <w:spacing w:line="220" w:lineRule="atLeast"/>
        <w:ind w:firstLineChars="0"/>
        <w:rPr>
          <w:rFonts w:hint="eastAsia"/>
        </w:rPr>
      </w:pPr>
      <w:r>
        <w:rPr>
          <w:rFonts w:hint="eastAsia"/>
        </w:rPr>
        <w:t>清仓时，按合约和</w:t>
      </w:r>
      <w:r>
        <w:rPr>
          <w:rFonts w:hint="eastAsia"/>
          <w:lang w:eastAsia="zh-CN"/>
        </w:rPr>
        <w:t>持仓类型（多、空仓位类别）</w:t>
      </w:r>
      <w:r>
        <w:rPr>
          <w:rFonts w:hint="eastAsia"/>
        </w:rPr>
        <w:t>依次报单，即</w:t>
      </w:r>
      <w:r>
        <w:rPr>
          <w:rFonts w:hint="eastAsia"/>
          <w:lang w:eastAsia="zh-CN"/>
        </w:rPr>
        <w:t>对手工持仓中</w:t>
      </w:r>
      <w:r>
        <w:rPr>
          <w:rFonts w:hint="eastAsia"/>
        </w:rPr>
        <w:t>每个合约</w:t>
      </w:r>
      <w:r>
        <w:rPr>
          <w:rFonts w:hint="eastAsia"/>
          <w:lang w:eastAsia="zh-CN"/>
        </w:rPr>
        <w:t>的</w:t>
      </w:r>
      <w:r>
        <w:rPr>
          <w:rFonts w:hint="eastAsia"/>
        </w:rPr>
        <w:t>每个</w:t>
      </w:r>
      <w:r>
        <w:rPr>
          <w:rFonts w:hint="eastAsia"/>
          <w:lang w:eastAsia="zh-CN"/>
        </w:rPr>
        <w:t>持仓类别</w:t>
      </w:r>
      <w:r>
        <w:rPr>
          <w:rFonts w:hint="eastAsia"/>
        </w:rPr>
        <w:t>有一笔平仓报单。</w:t>
      </w:r>
    </w:p>
    <w:p>
      <w:pPr>
        <w:pStyle w:val="7"/>
        <w:spacing w:line="220" w:lineRule="atLeast"/>
        <w:ind w:left="840" w:firstLine="0" w:firstLineChars="0"/>
        <w:rPr>
          <w:rFonts w:hint="eastAsia"/>
          <w:color w:val="FF0000"/>
          <w:lang w:eastAsia="zh-CN"/>
        </w:rPr>
      </w:pPr>
      <w:r>
        <w:rPr>
          <w:rFonts w:hint="eastAsia"/>
          <w:color w:val="FF0000"/>
        </w:rPr>
        <w:t>如果合约</w:t>
      </w:r>
      <w:r>
        <w:rPr>
          <w:rFonts w:hint="eastAsia"/>
          <w:color w:val="FF0000"/>
          <w:lang w:eastAsia="zh-CN"/>
        </w:rPr>
        <w:t>及持仓结合的类别</w:t>
      </w:r>
      <w:r>
        <w:rPr>
          <w:rFonts w:hint="eastAsia"/>
          <w:color w:val="FF0000"/>
        </w:rPr>
        <w:t>较多，可能会</w:t>
      </w:r>
      <w:r>
        <w:rPr>
          <w:rFonts w:hint="eastAsia"/>
          <w:color w:val="FF0000"/>
          <w:lang w:eastAsia="zh-CN"/>
        </w:rPr>
        <w:t>由于平仓单数量太多，</w:t>
      </w:r>
      <w:r>
        <w:rPr>
          <w:rFonts w:hint="eastAsia"/>
          <w:color w:val="FF0000"/>
        </w:rPr>
        <w:t>触及流控，</w:t>
      </w:r>
      <w:r>
        <w:rPr>
          <w:rFonts w:hint="eastAsia"/>
          <w:color w:val="FF0000"/>
          <w:lang w:eastAsia="zh-CN"/>
        </w:rPr>
        <w:t>会被</w:t>
      </w:r>
      <w:r>
        <w:rPr>
          <w:rFonts w:hint="eastAsia"/>
          <w:color w:val="FF0000"/>
          <w:lang w:val="en-US" w:eastAsia="zh-CN"/>
        </w:rPr>
        <w:t>CTP系统阻塞，出现</w:t>
      </w:r>
      <w:r>
        <w:rPr>
          <w:rFonts w:hint="eastAsia"/>
          <w:color w:val="FF0000"/>
        </w:rPr>
        <w:t>无法平仓的现象</w:t>
      </w:r>
      <w:r>
        <w:rPr>
          <w:rFonts w:hint="eastAsia"/>
          <w:color w:val="FF0000"/>
          <w:lang w:eastAsia="zh-CN"/>
        </w:rPr>
        <w:t>。</w:t>
      </w:r>
    </w:p>
    <w:p>
      <w:pPr>
        <w:pStyle w:val="7"/>
        <w:numPr>
          <w:ilvl w:val="0"/>
          <w:numId w:val="3"/>
        </w:numPr>
        <w:spacing w:line="220" w:lineRule="atLeast"/>
        <w:ind w:left="0" w:leftChars="0" w:firstLine="0" w:firstLine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风险控制系统：</w:t>
      </w:r>
    </w:p>
    <w:p>
      <w:pPr>
        <w:pStyle w:val="7"/>
        <w:numPr>
          <w:ilvl w:val="0"/>
          <w:numId w:val="0"/>
        </w:numPr>
        <w:spacing w:line="220" w:lineRule="atLeast"/>
        <w:ind w:left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风险控制系统可以被称为泛策略交易系统的一个部分，通常用来概括具有较高交易权限的自动平仓和阻止交易的系统功能。</w:t>
      </w:r>
    </w:p>
    <w:p>
      <w:pPr>
        <w:pStyle w:val="7"/>
        <w:numPr>
          <w:ilvl w:val="0"/>
          <w:numId w:val="0"/>
        </w:numPr>
        <w:spacing w:line="220" w:lineRule="atLeast"/>
        <w:ind w:left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风险控制系统的功能简介：</w:t>
      </w:r>
    </w:p>
    <w:p>
      <w:pPr>
        <w:pStyle w:val="7"/>
        <w:numPr>
          <w:ilvl w:val="0"/>
          <w:numId w:val="0"/>
        </w:numPr>
        <w:spacing w:line="220" w:lineRule="atLeast"/>
        <w:ind w:left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风控线设置</w:t>
      </w:r>
    </w:p>
    <w:p>
      <w:pPr>
        <w:pStyle w:val="7"/>
        <w:numPr>
          <w:ilvl w:val="0"/>
          <w:numId w:val="0"/>
        </w:numPr>
        <w:spacing w:line="220" w:lineRule="atLeast"/>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设置品种或账户的强平、强减、限制交易三种风险控制限额。分为持仓保证金占用比例、浮动亏损比例和浮动亏损金额三种设置。</w:t>
      </w:r>
    </w:p>
    <w:p>
      <w:pPr>
        <w:pStyle w:val="7"/>
        <w:numPr>
          <w:ilvl w:val="0"/>
          <w:numId w:val="0"/>
        </w:numPr>
        <w:spacing w:line="220" w:lineRule="atLeast"/>
        <w:ind w:left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强行平仓退出交易</w:t>
      </w:r>
    </w:p>
    <w:p>
      <w:pPr>
        <w:pStyle w:val="7"/>
        <w:numPr>
          <w:ilvl w:val="0"/>
          <w:numId w:val="0"/>
        </w:numPr>
        <w:spacing w:line="220" w:lineRule="atLeast"/>
        <w:ind w:leftChars="0"/>
        <w:rPr>
          <w:rFonts w:hint="eastAsia"/>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当</w:t>
      </w:r>
      <w:r>
        <w:rPr>
          <w:rFonts w:hint="eastAsia"/>
          <w:color w:val="000000" w:themeColor="text1"/>
          <w:lang w:eastAsia="zh-CN"/>
          <w14:textFill>
            <w14:solidFill>
              <w14:schemeClr w14:val="tx1"/>
            </w14:solidFill>
          </w14:textFill>
        </w:rPr>
        <w:t>交易系统触及风险控制系统预设的强平线的时候，将当前交易账户的所有持仓自动市价平仓。强平线的设置分：比例设置和金额设置两种。</w:t>
      </w:r>
    </w:p>
    <w:p>
      <w:pPr>
        <w:pStyle w:val="7"/>
        <w:numPr>
          <w:ilvl w:val="0"/>
          <w:numId w:val="0"/>
        </w:numPr>
        <w:spacing w:line="220" w:lineRule="atLeast"/>
        <w:ind w:left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强减</w:t>
      </w:r>
    </w:p>
    <w:p>
      <w:pPr>
        <w:pStyle w:val="7"/>
        <w:numPr>
          <w:ilvl w:val="0"/>
          <w:numId w:val="0"/>
        </w:numPr>
        <w:spacing w:line="220" w:lineRule="atLeast"/>
        <w:ind w:leftChars="0" w:firstLine="275"/>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当交易系统触及风险控制系统预设的强减线的时候，将当前交易账户的持仓进行自动减仓对部分仓位执行强平动作。可选手工平仓和自动平仓。对手工强减，采用警示的方式。</w:t>
      </w:r>
    </w:p>
    <w:p>
      <w:pPr>
        <w:pStyle w:val="7"/>
        <w:numPr>
          <w:ilvl w:val="0"/>
          <w:numId w:val="0"/>
        </w:numPr>
        <w:spacing w:line="220" w:lineRule="atLeast"/>
        <w:ind w:leftChars="0" w:firstLine="275"/>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自动强减，预设三种强减方法：默认强减（按照亏损高低顺序减仓至设定仓位控制线），比例强减（仓位控制线设置，按照系统默认方法减仓）和平仓仓位顺序（先进先出）。</w:t>
      </w:r>
    </w:p>
    <w:p>
      <w:pPr>
        <w:pStyle w:val="7"/>
        <w:numPr>
          <w:ilvl w:val="0"/>
          <w:numId w:val="0"/>
        </w:numPr>
        <w:spacing w:line="220" w:lineRule="atLeast"/>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限制交易</w:t>
      </w:r>
    </w:p>
    <w:p>
      <w:pPr>
        <w:pStyle w:val="7"/>
        <w:numPr>
          <w:ilvl w:val="0"/>
          <w:numId w:val="0"/>
        </w:numPr>
        <w:spacing w:line="220" w:lineRule="atLeast"/>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当交易账户保证金占用比例达到预设的持仓保证金占用比例的时候，采取限制开仓，只能平仓，不允许开仓。</w:t>
      </w:r>
    </w:p>
    <w:p>
      <w:pPr>
        <w:pStyle w:val="7"/>
        <w:numPr>
          <w:ilvl w:val="0"/>
          <w:numId w:val="0"/>
        </w:numPr>
        <w:spacing w:line="220" w:lineRule="atLeast"/>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B4E13"/>
    <w:multiLevelType w:val="singleLevel"/>
    <w:tmpl w:val="576B4E13"/>
    <w:lvl w:ilvl="0" w:tentative="0">
      <w:start w:val="7"/>
      <w:numFmt w:val="chineseCounting"/>
      <w:suff w:val="nothing"/>
      <w:lvlText w:val="%1．"/>
      <w:lvlJc w:val="left"/>
    </w:lvl>
  </w:abstractNum>
  <w:abstractNum w:abstractNumId="1">
    <w:nsid w:val="6FA1429E"/>
    <w:multiLevelType w:val="multilevel"/>
    <w:tmpl w:val="6FA1429E"/>
    <w:lvl w:ilvl="0" w:tentative="0">
      <w:start w:val="1"/>
      <w:numFmt w:val="chineseCountingThousand"/>
      <w:lvlText w:val="%1、"/>
      <w:lvlJc w:val="left"/>
      <w:pPr>
        <w:ind w:left="720" w:hanging="720"/>
      </w:pPr>
      <w:rPr>
        <w:rFonts w:hint="default"/>
      </w:rPr>
    </w:lvl>
    <w:lvl w:ilvl="1" w:tentative="0">
      <w:start w:val="1"/>
      <w:numFmt w:val="decimal"/>
      <w:lvlText w:val="%2."/>
      <w:lvlJc w:val="left"/>
      <w:pPr>
        <w:ind w:left="840" w:hanging="420"/>
      </w:pPr>
      <w:rPr>
        <w:rFonts w:hint="eastAsia"/>
      </w:rPr>
    </w:lvl>
    <w:lvl w:ilvl="2" w:tentative="0">
      <w:start w:val="1"/>
      <w:numFmt w:val="decimal"/>
      <w:lvlText w:val="%3)"/>
      <w:lvlJc w:val="left"/>
      <w:pPr>
        <w:ind w:left="1260" w:hanging="420"/>
      </w:pPr>
    </w:lvl>
    <w:lvl w:ilvl="3" w:tentative="0">
      <w:start w:val="1"/>
      <w:numFmt w:val="upperLetter"/>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4FE7EA4"/>
    <w:multiLevelType w:val="multilevel"/>
    <w:tmpl w:val="74FE7EA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7A17"/>
    <w:rsid w:val="00045737"/>
    <w:rsid w:val="00050D65"/>
    <w:rsid w:val="000571BC"/>
    <w:rsid w:val="0007319D"/>
    <w:rsid w:val="000A7625"/>
    <w:rsid w:val="000D12F8"/>
    <w:rsid w:val="0010288B"/>
    <w:rsid w:val="00115C9B"/>
    <w:rsid w:val="00132E4D"/>
    <w:rsid w:val="00134241"/>
    <w:rsid w:val="00142927"/>
    <w:rsid w:val="00162A29"/>
    <w:rsid w:val="00191F8D"/>
    <w:rsid w:val="0021213E"/>
    <w:rsid w:val="00241575"/>
    <w:rsid w:val="00284D91"/>
    <w:rsid w:val="002E0C44"/>
    <w:rsid w:val="002F3DF2"/>
    <w:rsid w:val="00323B43"/>
    <w:rsid w:val="00360833"/>
    <w:rsid w:val="00363C24"/>
    <w:rsid w:val="003A742C"/>
    <w:rsid w:val="003B4619"/>
    <w:rsid w:val="003D37D8"/>
    <w:rsid w:val="003D491C"/>
    <w:rsid w:val="00414D53"/>
    <w:rsid w:val="00420E72"/>
    <w:rsid w:val="00426133"/>
    <w:rsid w:val="00430879"/>
    <w:rsid w:val="00433D27"/>
    <w:rsid w:val="004358AB"/>
    <w:rsid w:val="004717EB"/>
    <w:rsid w:val="004A08C9"/>
    <w:rsid w:val="004B6EF5"/>
    <w:rsid w:val="004D3327"/>
    <w:rsid w:val="00525F8E"/>
    <w:rsid w:val="00534B46"/>
    <w:rsid w:val="00536BE9"/>
    <w:rsid w:val="0054094A"/>
    <w:rsid w:val="005539AD"/>
    <w:rsid w:val="005F08C6"/>
    <w:rsid w:val="005F5BA1"/>
    <w:rsid w:val="0063300F"/>
    <w:rsid w:val="006603D5"/>
    <w:rsid w:val="00694C37"/>
    <w:rsid w:val="006B73DB"/>
    <w:rsid w:val="006C4083"/>
    <w:rsid w:val="006C4329"/>
    <w:rsid w:val="006F3AC0"/>
    <w:rsid w:val="007263D8"/>
    <w:rsid w:val="007B3D5D"/>
    <w:rsid w:val="007E1DA4"/>
    <w:rsid w:val="00803C72"/>
    <w:rsid w:val="00811AE2"/>
    <w:rsid w:val="00852E91"/>
    <w:rsid w:val="00886F7A"/>
    <w:rsid w:val="008B7726"/>
    <w:rsid w:val="008D6B29"/>
    <w:rsid w:val="008F28ED"/>
    <w:rsid w:val="0093085B"/>
    <w:rsid w:val="00941E51"/>
    <w:rsid w:val="00965C29"/>
    <w:rsid w:val="00981B17"/>
    <w:rsid w:val="009B67C0"/>
    <w:rsid w:val="009B70F5"/>
    <w:rsid w:val="009B7BE1"/>
    <w:rsid w:val="009E044C"/>
    <w:rsid w:val="00A03950"/>
    <w:rsid w:val="00A3036A"/>
    <w:rsid w:val="00A37E53"/>
    <w:rsid w:val="00A543CB"/>
    <w:rsid w:val="00A604BA"/>
    <w:rsid w:val="00A65EEC"/>
    <w:rsid w:val="00AB7C60"/>
    <w:rsid w:val="00AD5E6E"/>
    <w:rsid w:val="00B32464"/>
    <w:rsid w:val="00B8531B"/>
    <w:rsid w:val="00BA4E3D"/>
    <w:rsid w:val="00BB4667"/>
    <w:rsid w:val="00BC74EF"/>
    <w:rsid w:val="00BD1416"/>
    <w:rsid w:val="00BE042C"/>
    <w:rsid w:val="00C1566C"/>
    <w:rsid w:val="00C53193"/>
    <w:rsid w:val="00C66AB5"/>
    <w:rsid w:val="00C9430C"/>
    <w:rsid w:val="00CB4F28"/>
    <w:rsid w:val="00CE154B"/>
    <w:rsid w:val="00D23D09"/>
    <w:rsid w:val="00D258D1"/>
    <w:rsid w:val="00D31D50"/>
    <w:rsid w:val="00D3775C"/>
    <w:rsid w:val="00D40D17"/>
    <w:rsid w:val="00D61433"/>
    <w:rsid w:val="00D83652"/>
    <w:rsid w:val="00DA0E97"/>
    <w:rsid w:val="00DC4C68"/>
    <w:rsid w:val="00E074C8"/>
    <w:rsid w:val="00E10A84"/>
    <w:rsid w:val="00E36E0A"/>
    <w:rsid w:val="00E80272"/>
    <w:rsid w:val="00E94F6F"/>
    <w:rsid w:val="00F126A0"/>
    <w:rsid w:val="00F67CE0"/>
    <w:rsid w:val="00F73ADA"/>
    <w:rsid w:val="05BF097D"/>
    <w:rsid w:val="110A6513"/>
    <w:rsid w:val="17FA21ED"/>
    <w:rsid w:val="1C94043E"/>
    <w:rsid w:val="3BD02967"/>
    <w:rsid w:val="3E087753"/>
    <w:rsid w:val="4D7A3B41"/>
    <w:rsid w:val="51E7461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6"/>
    <w:unhideWhenUsed/>
    <w:qFormat/>
    <w:uiPriority w:val="99"/>
    <w:pPr>
      <w:ind w:left="100" w:leftChars="2500"/>
    </w:pPr>
  </w:style>
  <w:style w:type="character" w:customStyle="1" w:styleId="6">
    <w:name w:val="日期 Char"/>
    <w:basedOn w:val="4"/>
    <w:link w:val="3"/>
    <w:semiHidden/>
    <w:qFormat/>
    <w:uiPriority w:val="99"/>
    <w:rPr>
      <w:rFonts w:ascii="Tahoma" w:hAnsi="Tahoma"/>
    </w:rPr>
  </w:style>
  <w:style w:type="paragraph" w:customStyle="1" w:styleId="7">
    <w:name w:val="List Paragraph"/>
    <w:basedOn w:val="1"/>
    <w:qFormat/>
    <w:uiPriority w:val="34"/>
    <w:pPr>
      <w:ind w:firstLine="420" w:firstLineChars="200"/>
    </w:pPr>
  </w:style>
  <w:style w:type="character" w:customStyle="1" w:styleId="8">
    <w:name w:val="标题 2 Char"/>
    <w:basedOn w:val="4"/>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222</Words>
  <Characters>1267</Characters>
  <Lines>10</Lines>
  <Paragraphs>2</Paragraphs>
  <ScaleCrop>false</ScaleCrop>
  <LinksUpToDate>false</LinksUpToDate>
  <CharactersWithSpaces>1487</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2016-06-27T01:35:02Z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