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Pathways to Net-Zero by 2060:</w:t>
      </w:r>
    </w:p>
    <w:p>
      <w:pPr>
        <w:spacing w:after="300"/>
        <w:jc w:val="center"/>
      </w:pPr>
      <w:r>
        <w:rPr>
          <w:rFonts w:ascii="Calibri" w:cs="Calibri" w:eastAsia="Calibri" w:hAnsi="Calibri"/>
          <w:b/>
          <w:bCs/>
          <w:sz w:val="26"/>
          <w:szCs w:val="26"/>
        </w:rPr>
        <w:t xml:space="preserve">A Spatial-Econometric Assessment of Nigeria's Energy Transition Plan Implementation</w:t>
      </w:r>
    </w:p>
    <w:p>
      <w:pPr>
        <w:spacing w:after="60"/>
        <w:jc w:val="center"/>
      </w:pPr>
      <w:r>
        <w:rPr>
          <w:rFonts w:ascii="Calibri" w:cs="Calibri" w:eastAsia="Calibri" w:hAnsi="Calibri"/>
          <w:i/>
          <w:iCs/>
          <w:sz w:val="22"/>
          <w:szCs w:val="22"/>
        </w:rPr>
        <w:t xml:space="preserve">Research Proposal</w:t>
      </w:r>
    </w:p>
    <w:p>
      <w:pPr>
        <w:spacing w:after="400"/>
        <w:jc w:val="center"/>
      </w:pPr>
      <w:r>
        <w:rPr>
          <w:rFonts w:ascii="Calibri" w:cs="Calibri" w:eastAsia="Calibri" w:hAnsi="Calibri"/>
          <w:color w:val="555555"/>
          <w:sz w:val="20"/>
          <w:szCs w:val="20"/>
        </w:rPr>
        <w:t xml:space="preserve">Dr. Isaac O. Ajao — Department of Computer Science, Federal Polytechnic Ado-Ekiti</w:t>
      </w:r>
    </w:p>
    <w:p>
      <w:pPr>
        <w:pStyle w:val="Heading1"/>
        <w:spacing w:after="160" w:before="320"/>
      </w:pPr>
      <w:r>
        <w:rPr>
          <w:rFonts w:ascii="Calibri" w:cs="Calibri" w:eastAsia="Calibri" w:hAnsi="Calibri"/>
          <w:b/>
          <w:bCs/>
        </w:rPr>
        <w:t xml:space="preserve">1. Problem Statement</w:t>
      </w:r>
    </w:p>
    <w:p>
      <w:pPr>
        <w:spacing w:after="160" w:line="276"/>
      </w:pPr>
      <w:r>
        <w:rPr>
          <w:rFonts w:ascii="Calibri" w:cs="Calibri" w:eastAsia="Calibri" w:hAnsi="Calibri"/>
        </w:rPr>
        <w:t xml:space="preserve">Nigeria's pledge to achieve net-zero greenhouse gas emissions by 2060 — announced at COP26 in 2021 and reaffirmed since — is backed by a legal and strategic framework: the Climate Change Act (2021), the Energy Transition Plan (ETP, 2022, updated 2024), the Long-Term Low-Emissions Development Strategy (LT-LEDS, 2024), and, most recently, the Net-Zero Investment Plan launched in May 2026. Despite this framework, implementation has visibly lagged. Statutory deadlines under the Climate Change Act — including the pilot National Climate Change Action Plan and first carbon budget, both due by November 2022 — remain unmet. The ETP itself relies heavily on action after 2030, while national energy policy through the current decade continues to prioritise gas expansion. Legal scholars and analysts have separately flagged weak enforcement mechanisms and infrastructural gaps as recurring obstacles.</w:t>
      </w:r>
    </w:p>
    <w:p>
      <w:pPr>
        <w:spacing w:after="160" w:line="276"/>
      </w:pPr>
      <w:r>
        <w:rPr>
          <w:rFonts w:ascii="Calibri" w:cs="Calibri" w:eastAsia="Calibri" w:hAnsi="Calibri"/>
        </w:rPr>
        <w:t xml:space="preserve">What is largely missing from this picture is empirical, sub-national evidence: an assessment of where emissions-related activity is concentrated, how it is trending relative to ETP sectoral benchmarks, and which regional characteristics predict faster or slower progress. This gap matters because Nigeria's transition financing, envisioned under the 2026 Net-Zero Investment Plan, will need to be targeted geographically and sectorally to be effective.</w:t>
      </w:r>
    </w:p>
    <w:p>
      <w:pPr>
        <w:pStyle w:val="Heading1"/>
        <w:spacing w:after="160" w:before="320"/>
      </w:pPr>
      <w:r>
        <w:rPr>
          <w:rFonts w:ascii="Calibri" w:cs="Calibri" w:eastAsia="Calibri" w:hAnsi="Calibri"/>
          <w:b/>
          <w:bCs/>
        </w:rPr>
        <w:t xml:space="preserve">2. Research Objectives and Questions</w:t>
      </w:r>
    </w:p>
    <w:p>
      <w:pPr>
        <w:spacing w:after="160" w:line="276"/>
      </w:pPr>
      <w:r>
        <w:rPr>
          <w:rFonts w:ascii="Calibri" w:cs="Calibri" w:eastAsia="Calibri" w:hAnsi="Calibri"/>
        </w:rPr>
        <w:t xml:space="preserve">The study pursues four objectives, each mapped to a corresponding research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D9E2F3" w:val="clear"/>
            <w:tcMar>
              <w:top w:type="dxa" w:w="80"/>
              <w:left w:type="dxa" w:w="100"/>
              <w:bottom w:type="dxa" w:w="80"/>
              <w:right w:type="dxa" w:w="100"/>
            </w:tcMar>
          </w:tcPr>
          <w:p>
            <w:r>
              <w:rPr>
                <w:rFonts w:ascii="Calibri" w:cs="Calibri" w:eastAsia="Calibri" w:hAnsi="Calibri"/>
                <w:b/>
                <w:bCs/>
                <w:sz w:val="20"/>
                <w:szCs w:val="20"/>
              </w:rPr>
              <w:t xml:space="preserve">Objective</w:t>
            </w:r>
          </w:p>
        </w:tc>
        <w:tc>
          <w:tcPr>
            <w:tcW w:type="dxa" w:w="6250"/>
            <w:shd w:fill="D9E2F3" w:val="clear"/>
            <w:tcMar>
              <w:top w:type="dxa" w:w="80"/>
              <w:left w:type="dxa" w:w="100"/>
              <w:bottom w:type="dxa" w:w="80"/>
              <w:right w:type="dxa" w:w="100"/>
            </w:tcMar>
          </w:tcPr>
          <w:p>
            <w:r>
              <w:rPr>
                <w:rFonts w:ascii="Calibri" w:cs="Calibri" w:eastAsia="Calibri" w:hAnsi="Calibri"/>
                <w:b/>
                <w:bCs/>
                <w:sz w:val="20"/>
                <w:szCs w:val="20"/>
              </w:rPr>
              <w:t xml:space="preserve">Research Question</w:t>
            </w:r>
          </w:p>
        </w:tc>
      </w:tr>
      <w:tr>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Assess sub-national emissions trends against ETP sectoral targets</w:t>
            </w:r>
          </w:p>
        </w:tc>
        <w:tc>
          <w:tcPr>
            <w:tcW w:type="dxa" w:w="6250"/>
            <w:tcMar>
              <w:top w:type="dxa" w:w="80"/>
              <w:left w:type="dxa" w:w="100"/>
              <w:bottom w:type="dxa" w:w="80"/>
              <w:right w:type="dxa" w:w="100"/>
            </w:tcMar>
          </w:tcPr>
          <w:p>
            <w:r>
              <w:rPr>
                <w:rFonts w:ascii="Calibri" w:cs="Calibri" w:eastAsia="Calibri" w:hAnsi="Calibri"/>
                <w:b w:val="false"/>
                <w:bCs w:val="false"/>
                <w:sz w:val="20"/>
                <w:szCs w:val="20"/>
              </w:rPr>
              <w:t xml:space="preserve">RQ1: Is there significant spatial autocorrelation in emissions-proxy intensity across Nigerian states?</w:t>
            </w:r>
          </w:p>
        </w:tc>
      </w:tr>
      <w:tr>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Model spatial dependence in energy-transition indicators</w:t>
            </w:r>
          </w:p>
        </w:tc>
        <w:tc>
          <w:tcPr>
            <w:tcW w:type="dxa" w:w="6250"/>
            <w:tcMar>
              <w:top w:type="dxa" w:w="80"/>
              <w:left w:type="dxa" w:w="100"/>
              <w:bottom w:type="dxa" w:w="80"/>
              <w:right w:type="dxa" w:w="100"/>
            </w:tcMar>
          </w:tcPr>
          <w:p>
            <w:r>
              <w:rPr>
                <w:rFonts w:ascii="Calibri" w:cs="Calibri" w:eastAsia="Calibri" w:hAnsi="Calibri"/>
                <w:b w:val="false"/>
                <w:bCs w:val="false"/>
                <w:sz w:val="20"/>
                <w:szCs w:val="20"/>
              </w:rPr>
              <w:t xml:space="preserve">RQ2: Which socioeconomic and infrastructure variables predict deviation from ETP sectoral benchmarks across states?</w:t>
            </w:r>
          </w:p>
        </w:tc>
      </w:tr>
      <w:tr>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Identify implementation lag between the Climate Change Act mandates and observed outcomes</w:t>
            </w:r>
          </w:p>
        </w:tc>
        <w:tc>
          <w:tcPr>
            <w:tcW w:type="dxa" w:w="6250"/>
            <w:tcMar>
              <w:top w:type="dxa" w:w="80"/>
              <w:left w:type="dxa" w:w="100"/>
              <w:bottom w:type="dxa" w:w="80"/>
              <w:right w:type="dxa" w:w="100"/>
            </w:tcMar>
          </w:tcPr>
          <w:p>
            <w:r>
              <w:rPr>
                <w:rFonts w:ascii="Calibri" w:cs="Calibri" w:eastAsia="Calibri" w:hAnsi="Calibri"/>
                <w:b w:val="false"/>
                <w:bCs w:val="false"/>
                <w:sz w:val="20"/>
                <w:szCs w:val="20"/>
              </w:rPr>
              <w:t xml:space="preserve">RQ3: What is the estimated gap between pledged and current-trajectory emissions at the 2030 interim milestone and the 2060 target?</w:t>
            </w:r>
          </w:p>
        </w:tc>
      </w:tr>
      <w:tr>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Benchmark Nigeria's trajectory against comparator net-zero pathways</w:t>
            </w:r>
          </w:p>
        </w:tc>
        <w:tc>
          <w:tcPr>
            <w:tcW w:type="dxa" w:w="6250"/>
            <w:tcMar>
              <w:top w:type="dxa" w:w="80"/>
              <w:left w:type="dxa" w:w="100"/>
              <w:bottom w:type="dxa" w:w="80"/>
              <w:right w:type="dxa" w:w="100"/>
            </w:tcMar>
          </w:tcPr>
          <w:p>
            <w:r>
              <w:rPr>
                <w:rFonts w:ascii="Calibri" w:cs="Calibri" w:eastAsia="Calibri" w:hAnsi="Calibri"/>
                <w:b w:val="false"/>
                <w:bCs w:val="false"/>
                <w:sz w:val="20"/>
                <w:szCs w:val="20"/>
              </w:rPr>
              <w:t xml:space="preserve">RQ4: How does Nigeria's implementation progress compare with South Africa (2050) and India (2070)?</w:t>
            </w:r>
          </w:p>
        </w:tc>
      </w:tr>
    </w:tbl>
    <w:p>
      <w:pPr>
        <w:pStyle w:val="Heading1"/>
        <w:spacing w:after="160" w:before="320"/>
      </w:pPr>
      <w:r>
        <w:rPr>
          <w:rFonts w:ascii="Calibri" w:cs="Calibri" w:eastAsia="Calibri" w:hAnsi="Calibri"/>
          <w:b/>
          <w:bCs/>
        </w:rPr>
        <w:t xml:space="preserve">3. Methodology</w:t>
      </w:r>
    </w:p>
    <w:p>
      <w:pPr>
        <w:pStyle w:val="Heading2"/>
        <w:spacing w:after="120" w:before="240"/>
      </w:pPr>
      <w:r>
        <w:rPr>
          <w:rFonts w:ascii="Calibri" w:cs="Calibri" w:eastAsia="Calibri" w:hAnsi="Calibri"/>
          <w:b/>
          <w:bCs/>
        </w:rPr>
        <w:t xml:space="preserve">3.1 National-level analysis</w:t>
      </w:r>
    </w:p>
    <w:p>
      <w:pPr>
        <w:spacing w:after="160" w:line="276"/>
      </w:pPr>
      <w:r>
        <w:rPr>
          <w:rFonts w:ascii="Calibri" w:cs="Calibri" w:eastAsia="Calibri" w:hAnsi="Calibri"/>
        </w:rPr>
        <w:t xml:space="preserve">An Autoregressive Distributed Lag (ARDL) bounds-testing approach will be used to estimate long-run and short-run relationships between CO2 emissions, GDP, energy mix, and policy indicators (e.g., a Climate Change Act implementation index constructed from milestone-compliance data). ARDL is appropriate given the likely mix of I(0) and I(1) variables in Nigeria's macro-energy time series, and it accommodates the relatively short post-2021 policy window.</w:t>
      </w:r>
    </w:p>
    <w:p>
      <w:pPr>
        <w:pStyle w:val="Heading2"/>
        <w:spacing w:after="120" w:before="240"/>
      </w:pPr>
      <w:r>
        <w:rPr>
          <w:rFonts w:ascii="Calibri" w:cs="Calibri" w:eastAsia="Calibri" w:hAnsi="Calibri"/>
          <w:b/>
          <w:bCs/>
        </w:rPr>
        <w:t xml:space="preserve">3.2 Sub-national spatial analysis</w:t>
      </w:r>
    </w:p>
    <w:p>
      <w:pPr>
        <w:spacing w:after="160" w:line="276"/>
      </w:pPr>
      <w:r>
        <w:rPr>
          <w:rFonts w:ascii="Calibri" w:cs="Calibri" w:eastAsia="Calibri" w:hAnsi="Calibri"/>
        </w:rPr>
        <w:t xml:space="preserve">In the absence of an official state-level emissions inventory, a composite emissions-proxy approach is used, built from two geocoded indicators: gas flaring volumes (from GGFR satellite-derived site-level data) and electricity access (aggregated from an NDHS-derived LGA-level extract). Spatial dependence across Nigeria's 36 states and FCT will be tested using Moran's I, followed by spatial lag and spatial error models to identify which socioeconomic and infrastructure variables predict deviation from ETP benchmarks (RQ2).</w:t>
      </w:r>
    </w:p>
    <w:p>
      <w:pPr>
        <w:spacing w:after="160" w:line="276"/>
      </w:pPr>
      <w:r>
        <w:rPr>
          <w:rFonts w:ascii="Calibri" w:cs="Calibri" w:eastAsia="Calibri" w:hAnsi="Calibri"/>
        </w:rPr>
        <w:t xml:space="preserve">Site-level geocoding of the flaring data shows that approximately 48% of national flaring volume originates from offshore fields, which by definition cannot be attributed to any state jurisdiction. Rather than allocating offshore volumes to a state on the basis of an unverified assumption (e.g., nearest coastline), the spatial model is restricted to onshore flare sites, geocoded to their state of occurrence. This yields a defensible, purely observational state-level panel covering the onshore oil-producing states (chiefly Delta, Rivers, Bayelsa, Edo, Imo, Akwa Ibom, and Abia) plus the remaining states at zero or near-zero flaring intensity. Offshore volumes are not discarded from the study; they are retained at the resolution at which they are actually measured — nationally — and enter the ARDL model in Section 3.1 as a distinct regressor. This division keeps each model's claims matched to the resolution its underlying data can support: the spatial model speaks to sub-national heterogeneity in onshore flaring, while the national model accounts for 100% of flaring volume, onshore and offshore combined.</w:t>
      </w:r>
    </w:p>
    <w:p>
      <w:pPr>
        <w:pStyle w:val="Heading2"/>
        <w:spacing w:after="120" w:before="240"/>
      </w:pPr>
      <w:r>
        <w:rPr>
          <w:rFonts w:ascii="Calibri" w:cs="Calibri" w:eastAsia="Calibri" w:hAnsi="Calibri"/>
          <w:b/>
          <w:bCs/>
        </w:rPr>
        <w:t xml:space="preserve">3.3 Comparative benchmarking</w:t>
      </w:r>
    </w:p>
    <w:p>
      <w:pPr>
        <w:spacing w:after="160" w:line="276"/>
      </w:pPr>
      <w:r>
        <w:rPr>
          <w:rFonts w:ascii="Calibri" w:cs="Calibri" w:eastAsia="Calibri" w:hAnsi="Calibri"/>
        </w:rPr>
        <w:t xml:space="preserve">Nigeria's implementation trajectory will be benchmarked against South Africa (2050 target) and India (2070 target), drawing on their respective national inventories and, where available, sub-national GHG data — both are better documented at state/provincial level than Nigeria, so this component functions as a methodological cross-check as well as a substantive comparison.</w:t>
      </w:r>
    </w:p>
    <w:p>
      <w:pPr>
        <w:pStyle w:val="Heading2"/>
        <w:spacing w:after="120" w:before="240"/>
      </w:pPr>
      <w:r>
        <w:rPr>
          <w:rFonts w:ascii="Calibri" w:cs="Calibri" w:eastAsia="Calibri" w:hAnsi="Calibri"/>
          <w:b/>
          <w:bCs/>
        </w:rPr>
        <w:t xml:space="preserve">3.4 Limitations</w:t>
      </w:r>
    </w:p>
    <w:p>
      <w:pPr>
        <w:spacing w:after="160" w:line="276"/>
      </w:pPr>
      <w:r>
        <w:rPr>
          <w:rFonts w:ascii="Calibri" w:cs="Calibri" w:eastAsia="Calibri" w:hAnsi="Calibri"/>
        </w:rPr>
        <w:t xml:space="preserve">The absence of an official Nigerian sub-national CO2 inventory is a binding constraint. The composite proxy index approach is a reasonable substitute but is not a direct emissions measure, and this will be stated explicitly rather than implied away. Where possible, proxy validity will be checked against national totals via aggregation consistency tests.</w:t>
      </w:r>
    </w:p>
    <w:p>
      <w:pPr>
        <w:spacing w:after="160" w:line="276"/>
      </w:pPr>
      <w:r>
        <w:rPr>
          <w:rFonts w:ascii="Calibri" w:cs="Calibri" w:eastAsia="Calibri" w:hAnsi="Calibri"/>
        </w:rPr>
        <w:t xml:space="preserve">VIIRS nighttime-lights radiance was initially considered as a third RQ2 covariate alongside electricity access and onshore flare-site density, but was not pursued in the final specification. Two reasons support this: first, satellite nighttime-lights products require raster processing infrastructure (HDF5-format handling, authenticated data access) that introduced disproportionate technical overhead relative to its expected contribution; second, and more substantively, flare sites are themselves a significant source of visible light at night, meaning a nighttime-lights variable would be partially mechanically correlated with the flaring outcome it is meant to help explain, rather than fully independent of it. The two-covariate specification (electricity access, onshore site density) avoids this circularity while still testing both a socioeconomic and an infrastructure-based explanation for spatial variation in flaring intensity.</w:t>
      </w:r>
    </w:p>
    <w:p>
      <w:pPr>
        <w:pStyle w:val="Heading1"/>
        <w:spacing w:after="160" w:before="320"/>
      </w:pPr>
      <w:r>
        <w:rPr>
          <w:rFonts w:ascii="Calibri" w:cs="Calibri" w:eastAsia="Calibri" w:hAnsi="Calibri"/>
          <w:b/>
          <w:bCs/>
        </w:rPr>
        <w:t xml:space="preserve">4. Data Sources</w:t>
      </w:r>
    </w:p>
    <w:p>
      <w:pPr>
        <w:spacing w:after="160" w:line="276"/>
      </w:pPr>
      <w:r>
        <w:rPr>
          <w:rFonts w:ascii="Calibri" w:cs="Calibri" w:eastAsia="Calibri" w:hAnsi="Calibri"/>
        </w:rPr>
        <w:t xml:space="preserve">The table below summarizes the primary data sources identified, their spatial resolution, and access route.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2150"/>
      </w:tblGrid>
      <w:tr>
        <w:trPr>
          <w:tblHeader/>
        </w:trP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Variable</w:t>
            </w:r>
          </w:p>
        </w:tc>
        <w:tc>
          <w:tcPr>
            <w:tcW w:type="dxa" w:w="3200"/>
            <w:shd w:fill="D9E2F3" w:val="clear"/>
            <w:tcMar>
              <w:top w:type="dxa" w:w="80"/>
              <w:left w:type="dxa" w:w="100"/>
              <w:bottom w:type="dxa" w:w="80"/>
              <w:right w:type="dxa" w:w="100"/>
            </w:tcMar>
          </w:tcPr>
          <w:p>
            <w:r>
              <w:rPr>
                <w:rFonts w:ascii="Calibri" w:cs="Calibri" w:eastAsia="Calibri" w:hAnsi="Calibri"/>
                <w:b/>
                <w:bCs/>
                <w:sz w:val="20"/>
                <w:szCs w:val="20"/>
              </w:rPr>
              <w:t xml:space="preserve">Source</w:t>
            </w:r>
          </w:p>
        </w:tc>
        <w:tc>
          <w:tcPr>
            <w:tcW w:type="dxa" w:w="1600"/>
            <w:shd w:fill="D9E2F3" w:val="clear"/>
            <w:tcMar>
              <w:top w:type="dxa" w:w="80"/>
              <w:left w:type="dxa" w:w="100"/>
              <w:bottom w:type="dxa" w:w="80"/>
              <w:right w:type="dxa" w:w="100"/>
            </w:tcMar>
          </w:tcPr>
          <w:p>
            <w:r>
              <w:rPr>
                <w:rFonts w:ascii="Calibri" w:cs="Calibri" w:eastAsia="Calibri" w:hAnsi="Calibri"/>
                <w:b/>
                <w:bCs/>
                <w:sz w:val="20"/>
                <w:szCs w:val="20"/>
              </w:rPr>
              <w:t xml:space="preserve">Level</w:t>
            </w:r>
          </w:p>
        </w:tc>
        <w:tc>
          <w:tcPr>
            <w:tcW w:type="dxa" w:w="2150"/>
            <w:shd w:fill="D9E2F3" w:val="clear"/>
            <w:tcMar>
              <w:top w:type="dxa" w:w="80"/>
              <w:left w:type="dxa" w:w="100"/>
              <w:bottom w:type="dxa" w:w="80"/>
              <w:right w:type="dxa" w:w="100"/>
            </w:tcMar>
          </w:tcPr>
          <w:p>
            <w:r>
              <w:rPr>
                <w:rFonts w:ascii="Calibri" w:cs="Calibri" w:eastAsia="Calibri" w:hAnsi="Calibri"/>
                <w:b/>
                <w:bCs/>
                <w:sz w:val="20"/>
                <w:szCs w:val="20"/>
              </w:rPr>
              <w:t xml:space="preserve">Access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Gas flaring volumes (site-level, geocoded)</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NOSDRA Gas Flare Tracker (VIIRS Nightfire / Colorado School of Mines)</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Site → State</w:t>
            </w:r>
          </w:p>
        </w:tc>
        <w:tc>
          <w:tcPr>
            <w:tcW w:type="dxa" w:w="2150"/>
            <w:tcMar>
              <w:top w:type="dxa" w:w="80"/>
              <w:left w:type="dxa" w:w="100"/>
              <w:bottom w:type="dxa" w:w="80"/>
              <w:right w:type="dxa" w:w="100"/>
            </w:tcMar>
          </w:tcPr>
          <w:p>
            <w:r>
              <w:rPr>
                <w:rFonts w:ascii="Calibri" w:cs="Calibri" w:eastAsia="Calibri" w:hAnsi="Calibri"/>
                <w:b w:val="false"/>
                <w:bCs w:val="false"/>
                <w:sz w:val="20"/>
                <w:szCs w:val="20"/>
              </w:rPr>
              <w:t xml:space="preserve">Free, web portal</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National gas flaring, cross-check</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World Bank GGFR Global Gas Flaring Database</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National</w:t>
            </w:r>
          </w:p>
        </w:tc>
        <w:tc>
          <w:tcPr>
            <w:tcW w:type="dxa" w:w="2150"/>
            <w:tcMar>
              <w:top w:type="dxa" w:w="80"/>
              <w:left w:type="dxa" w:w="100"/>
              <w:bottom w:type="dxa" w:w="80"/>
              <w:right w:type="dxa" w:w="100"/>
            </w:tcMar>
          </w:tcPr>
          <w:p>
            <w:r>
              <w:rPr>
                <w:rFonts w:ascii="Calibri" w:cs="Calibri" w:eastAsia="Calibri" w:hAnsi="Calibri"/>
                <w:b w:val="false"/>
                <w:bCs w:val="false"/>
                <w:sz w:val="20"/>
                <w:szCs w:val="20"/>
              </w:rPr>
              <w:t xml:space="preserve">Free, Data Catalog</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Electricity access / consumption</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NDHS-derived LGA-level extract, aggregated to state</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LGA → State</w:t>
            </w:r>
          </w:p>
        </w:tc>
        <w:tc>
          <w:tcPr>
            <w:tcW w:type="dxa" w:w="2150"/>
            <w:tcMar>
              <w:top w:type="dxa" w:w="80"/>
              <w:left w:type="dxa" w:w="100"/>
              <w:bottom w:type="dxa" w:w="80"/>
              <w:right w:type="dxa" w:w="100"/>
            </w:tcMar>
          </w:tcPr>
          <w:p>
            <w:r>
              <w:rPr>
                <w:rFonts w:ascii="Calibri" w:cs="Calibri" w:eastAsia="Calibri" w:hAnsi="Calibri"/>
                <w:b w:val="false"/>
                <w:bCs w:val="false"/>
                <w:sz w:val="20"/>
                <w:szCs w:val="20"/>
              </w:rPr>
              <w:t xml:space="preserve">Compiled from prior research</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National CO2 emissions, GDP, energy use</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World Bank Open Data; Our World in Data; Global Carbon Project</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National</w:t>
            </w:r>
          </w:p>
        </w:tc>
        <w:tc>
          <w:tcPr>
            <w:tcW w:type="dxa" w:w="2150"/>
            <w:tcMar>
              <w:top w:type="dxa" w:w="80"/>
              <w:left w:type="dxa" w:w="100"/>
              <w:bottom w:type="dxa" w:w="80"/>
              <w:right w:type="dxa" w:w="100"/>
            </w:tcMar>
          </w:tcPr>
          <w:p>
            <w:r>
              <w:rPr>
                <w:rFonts w:ascii="Calibri" w:cs="Calibri" w:eastAsia="Calibri" w:hAnsi="Calibri"/>
                <w:b w:val="false"/>
                <w:bCs w:val="false"/>
                <w:sz w:val="20"/>
                <w:szCs w:val="20"/>
              </w:rPr>
              <w:t xml:space="preserve">Free, CSV/API</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Energy mix by fuel type</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EIA International Energy Data</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National</w:t>
            </w:r>
          </w:p>
        </w:tc>
        <w:tc>
          <w:tcPr>
            <w:tcW w:type="dxa" w:w="2150"/>
            <w:tcMar>
              <w:top w:type="dxa" w:w="80"/>
              <w:left w:type="dxa" w:w="100"/>
              <w:bottom w:type="dxa" w:w="80"/>
              <w:right w:type="dxa" w:w="100"/>
            </w:tcMar>
          </w:tcPr>
          <w:p>
            <w:r>
              <w:rPr>
                <w:rFonts w:ascii="Calibri" w:cs="Calibri" w:eastAsia="Calibri" w:hAnsi="Calibri"/>
                <w:b w:val="false"/>
                <w:bCs w:val="false"/>
                <w:sz w:val="20"/>
                <w:szCs w:val="20"/>
              </w:rPr>
              <w:t xml:space="preserve">Free, CSV/API</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ETP / LT-LEDS sectoral targets</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Nigeria Energy Transition Plan; LT-LEDS (energytransition.gov.ng)</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National</w:t>
            </w:r>
          </w:p>
        </w:tc>
        <w:tc>
          <w:tcPr>
            <w:tcW w:type="dxa" w:w="2150"/>
            <w:tcMar>
              <w:top w:type="dxa" w:w="80"/>
              <w:left w:type="dxa" w:w="100"/>
              <w:bottom w:type="dxa" w:w="80"/>
              <w:right w:type="dxa" w:w="100"/>
            </w:tcMar>
          </w:tcPr>
          <w:p>
            <w:r>
              <w:rPr>
                <w:rFonts w:ascii="Calibri" w:cs="Calibri" w:eastAsia="Calibri" w:hAnsi="Calibri"/>
                <w:b w:val="false"/>
                <w:bCs w:val="false"/>
                <w:sz w:val="20"/>
                <w:szCs w:val="20"/>
              </w:rPr>
              <w:t xml:space="preserve">Free, PDF reports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Policy tracking / ratings</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Climate Action Tracker – Nigeria</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National</w:t>
            </w:r>
          </w:p>
        </w:tc>
        <w:tc>
          <w:tcPr>
            <w:tcW w:type="dxa" w:w="2150"/>
            <w:tcMar>
              <w:top w:type="dxa" w:w="80"/>
              <w:left w:type="dxa" w:w="100"/>
              <w:bottom w:type="dxa" w:w="80"/>
              <w:right w:type="dxa" w:w="100"/>
            </w:tcMar>
          </w:tcPr>
          <w:p>
            <w:r>
              <w:rPr>
                <w:rFonts w:ascii="Calibri" w:cs="Calibri" w:eastAsia="Calibri" w:hAnsi="Calibri"/>
                <w:b w:val="false"/>
                <w:bCs w:val="false"/>
                <w:sz w:val="20"/>
                <w:szCs w:val="20"/>
              </w:rPr>
              <w:t xml:space="preserve">Free, web</w:t>
            </w:r>
          </w:p>
        </w:tc>
      </w:tr>
    </w:tbl>
    <w:p>
      <w:pPr>
        <w:pStyle w:val="Heading1"/>
        <w:spacing w:after="160" w:before="320"/>
      </w:pPr>
      <w:r>
        <w:rPr>
          <w:rFonts w:ascii="Calibri" w:cs="Calibri" w:eastAsia="Calibri" w:hAnsi="Calibri"/>
          <w:b/>
          <w:bCs/>
        </w:rPr>
        <w:t xml:space="preserve">5. Expected Contribution</w:t>
      </w:r>
    </w:p>
    <w:p>
      <w:pPr>
        <w:pStyle w:val="ListParagraph"/>
        <w:numPr>
          <w:ilvl w:val="0"/>
          <w:numId w:val="2"/>
        </w:numPr>
        <w:spacing w:after="80" w:line="276"/>
      </w:pPr>
      <w:r>
        <w:rPr>
          <w:rFonts w:ascii="Calibri" w:cs="Calibri" w:eastAsia="Calibri" w:hAnsi="Calibri"/>
        </w:rPr>
        <w:t xml:space="preserve">First sub-national, spatially-resolved assessment tying Nigeria's legal and policy net-zero framework to measurable regional proxy indicators.</w:t>
      </w:r>
    </w:p>
    <w:p>
      <w:pPr>
        <w:pStyle w:val="ListParagraph"/>
        <w:numPr>
          <w:ilvl w:val="0"/>
          <w:numId w:val="2"/>
        </w:numPr>
        <w:spacing w:after="80" w:line="276"/>
      </w:pPr>
      <w:r>
        <w:rPr>
          <w:rFonts w:ascii="Calibri" w:cs="Calibri" w:eastAsia="Calibri" w:hAnsi="Calibri"/>
        </w:rPr>
        <w:t xml:space="preserve">An empirical estimate of the implementation gap between Climate Change Act mandates and observed outcomes, useful for the National Council on Climate Change (NCCC) and state governments.</w:t>
      </w:r>
    </w:p>
    <w:p>
      <w:pPr>
        <w:pStyle w:val="ListParagraph"/>
        <w:numPr>
          <w:ilvl w:val="0"/>
          <w:numId w:val="2"/>
        </w:numPr>
        <w:spacing w:after="80" w:line="276"/>
      </w:pPr>
      <w:r>
        <w:rPr>
          <w:rFonts w:ascii="Calibri" w:cs="Calibri" w:eastAsia="Calibri" w:hAnsi="Calibri"/>
        </w:rPr>
        <w:t xml:space="preserve">A replicable proxy-based methodology applicable to other countries lacking official sub-national emissions inventories.</w:t>
      </w:r>
    </w:p>
    <w:p>
      <w:pPr>
        <w:pStyle w:val="ListParagraph"/>
        <w:numPr>
          <w:ilvl w:val="0"/>
          <w:numId w:val="2"/>
        </w:numPr>
        <w:spacing w:after="80" w:line="276"/>
      </w:pPr>
      <w:r>
        <w:rPr>
          <w:rFonts w:ascii="Calibri" w:cs="Calibri" w:eastAsia="Calibri" w:hAnsi="Calibri"/>
        </w:rPr>
        <w:t xml:space="preserve">Evidence base to help target the 2026 Net-Zero Investment Plan's financing geographically and sectorally.</w:t>
      </w:r>
    </w:p>
    <w:p>
      <w:pPr>
        <w:pStyle w:val="Heading1"/>
        <w:spacing w:after="160" w:before="320"/>
      </w:pPr>
      <w:r>
        <w:rPr>
          <w:rFonts w:ascii="Calibri" w:cs="Calibri" w:eastAsia="Calibri" w:hAnsi="Calibri"/>
          <w:b/>
          <w:bCs/>
        </w:rPr>
        <w:t xml:space="preserve">6. Indicative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6900"/>
      </w:tblGrid>
      <w:tr>
        <w:trPr>
          <w:tblHeader/>
        </w:trPr>
        <w:tc>
          <w:tcPr>
            <w:tcW w:type="dxa" w:w="2350"/>
            <w:shd w:fill="D9E2F3" w:val="clear"/>
            <w:tcMar>
              <w:top w:type="dxa" w:w="80"/>
              <w:left w:type="dxa" w:w="100"/>
              <w:bottom w:type="dxa" w:w="80"/>
              <w:right w:type="dxa" w:w="100"/>
            </w:tcMar>
          </w:tcPr>
          <w:p>
            <w:r>
              <w:rPr>
                <w:rFonts w:ascii="Calibri" w:cs="Calibri" w:eastAsia="Calibri" w:hAnsi="Calibri"/>
                <w:b/>
                <w:bCs/>
                <w:sz w:val="20"/>
                <w:szCs w:val="20"/>
              </w:rPr>
              <w:t xml:space="preserve">Phase</w:t>
            </w:r>
          </w:p>
        </w:tc>
        <w:tc>
          <w:tcPr>
            <w:tcW w:type="dxa" w:w="6900"/>
            <w:shd w:fill="D9E2F3" w:val="clear"/>
            <w:tcMar>
              <w:top w:type="dxa" w:w="80"/>
              <w:left w:type="dxa" w:w="100"/>
              <w:bottom w:type="dxa" w:w="80"/>
              <w:right w:type="dxa" w:w="100"/>
            </w:tcMar>
          </w:tcPr>
          <w:p>
            <w:r>
              <w:rPr>
                <w:rFonts w:ascii="Calibri" w:cs="Calibri" w:eastAsia="Calibri" w:hAnsi="Calibri"/>
                <w:b/>
                <w:bCs/>
                <w:sz w:val="20"/>
                <w:szCs w:val="20"/>
              </w:rPr>
              <w:t xml:space="preserve">Activities</w:t>
            </w:r>
          </w:p>
        </w:tc>
      </w:tr>
      <w:tr>
        <w:tc>
          <w:tcPr>
            <w:tcW w:type="dxa" w:w="2350"/>
            <w:tcMar>
              <w:top w:type="dxa" w:w="80"/>
              <w:left w:type="dxa" w:w="100"/>
              <w:bottom w:type="dxa" w:w="80"/>
              <w:right w:type="dxa" w:w="100"/>
            </w:tcMar>
          </w:tcPr>
          <w:p>
            <w:r>
              <w:rPr>
                <w:rFonts w:ascii="Calibri" w:cs="Calibri" w:eastAsia="Calibri" w:hAnsi="Calibri"/>
                <w:b w:val="false"/>
                <w:bCs w:val="false"/>
                <w:sz w:val="20"/>
                <w:szCs w:val="20"/>
              </w:rPr>
              <w:t xml:space="preserve">Phase 1</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Literature review; finalize data-collection protocol; acquire national-level datasets (World Bank, OWID, EIA)</w:t>
            </w:r>
          </w:p>
        </w:tc>
      </w:tr>
      <w:tr>
        <w:tc>
          <w:tcPr>
            <w:tcW w:type="dxa" w:w="2350"/>
            <w:tcMar>
              <w:top w:type="dxa" w:w="80"/>
              <w:left w:type="dxa" w:w="100"/>
              <w:bottom w:type="dxa" w:w="80"/>
              <w:right w:type="dxa" w:w="100"/>
            </w:tcMar>
          </w:tcPr>
          <w:p>
            <w:r>
              <w:rPr>
                <w:rFonts w:ascii="Calibri" w:cs="Calibri" w:eastAsia="Calibri" w:hAnsi="Calibri"/>
                <w:b w:val="false"/>
                <w:bCs w:val="false"/>
                <w:sz w:val="20"/>
                <w:szCs w:val="20"/>
              </w:rPr>
              <w:t xml:space="preserve">Phase 2</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Build state-level panel: geocode NOSDRA flare sites, extract VIIRS nighttime-lights by state, compile electricity-access data</w:t>
            </w:r>
          </w:p>
        </w:tc>
      </w:tr>
      <w:tr>
        <w:tc>
          <w:tcPr>
            <w:tcW w:type="dxa" w:w="2350"/>
            <w:tcMar>
              <w:top w:type="dxa" w:w="80"/>
              <w:left w:type="dxa" w:w="100"/>
              <w:bottom w:type="dxa" w:w="80"/>
              <w:right w:type="dxa" w:w="100"/>
            </w:tcMar>
          </w:tcPr>
          <w:p>
            <w:r>
              <w:rPr>
                <w:rFonts w:ascii="Calibri" w:cs="Calibri" w:eastAsia="Calibri" w:hAnsi="Calibri"/>
                <w:b w:val="false"/>
                <w:bCs w:val="false"/>
                <w:sz w:val="20"/>
                <w:szCs w:val="20"/>
              </w:rPr>
              <w:t xml:space="preserve">Phase 3</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National ARDL estimation (emissions–GDP–energy mix–policy); bounds testing for cointegration</w:t>
            </w:r>
          </w:p>
        </w:tc>
      </w:tr>
      <w:tr>
        <w:tc>
          <w:tcPr>
            <w:tcW w:type="dxa" w:w="2350"/>
            <w:tcMar>
              <w:top w:type="dxa" w:w="80"/>
              <w:left w:type="dxa" w:w="100"/>
              <w:bottom w:type="dxa" w:w="80"/>
              <w:right w:type="dxa" w:w="100"/>
            </w:tcMar>
          </w:tcPr>
          <w:p>
            <w:r>
              <w:rPr>
                <w:rFonts w:ascii="Calibri" w:cs="Calibri" w:eastAsia="Calibri" w:hAnsi="Calibri"/>
                <w:b w:val="false"/>
                <w:bCs w:val="false"/>
                <w:sz w:val="20"/>
                <w:szCs w:val="20"/>
              </w:rPr>
              <w:t xml:space="preserve">Phase 4</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Spatial econometric analysis: Moran's I, spatial lag/error models on the state-level composite proxy index</w:t>
            </w:r>
          </w:p>
        </w:tc>
      </w:tr>
      <w:tr>
        <w:tc>
          <w:tcPr>
            <w:tcW w:type="dxa" w:w="2350"/>
            <w:tcMar>
              <w:top w:type="dxa" w:w="80"/>
              <w:left w:type="dxa" w:w="100"/>
              <w:bottom w:type="dxa" w:w="80"/>
              <w:right w:type="dxa" w:w="100"/>
            </w:tcMar>
          </w:tcPr>
          <w:p>
            <w:r>
              <w:rPr>
                <w:rFonts w:ascii="Calibri" w:cs="Calibri" w:eastAsia="Calibri" w:hAnsi="Calibri"/>
                <w:b w:val="false"/>
                <w:bCs w:val="false"/>
                <w:sz w:val="20"/>
                <w:szCs w:val="20"/>
              </w:rPr>
              <w:t xml:space="preserve">Phase 5</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Comparative benchmarking against South Africa and India; gap analysis against 2030/2060 targets</w:t>
            </w:r>
          </w:p>
        </w:tc>
      </w:tr>
      <w:tr>
        <w:tc>
          <w:tcPr>
            <w:tcW w:type="dxa" w:w="2350"/>
            <w:tcMar>
              <w:top w:type="dxa" w:w="80"/>
              <w:left w:type="dxa" w:w="100"/>
              <w:bottom w:type="dxa" w:w="80"/>
              <w:right w:type="dxa" w:w="100"/>
            </w:tcMar>
          </w:tcPr>
          <w:p>
            <w:r>
              <w:rPr>
                <w:rFonts w:ascii="Calibri" w:cs="Calibri" w:eastAsia="Calibri" w:hAnsi="Calibri"/>
                <w:b w:val="false"/>
                <w:bCs w:val="false"/>
                <w:sz w:val="20"/>
                <w:szCs w:val="20"/>
              </w:rPr>
              <w:t xml:space="preserve">Phase 6</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Write-up, validation, and dissemination (defense / journal submission)</w:t>
            </w:r>
          </w:p>
        </w:tc>
      </w:tr>
    </w:tbl>
    <w:p>
      <w:pPr>
        <w:pStyle w:val="Heading1"/>
        <w:spacing w:after="160" w:before="320"/>
      </w:pPr>
      <w:r>
        <w:rPr>
          <w:rFonts w:ascii="Calibri" w:cs="Calibri" w:eastAsia="Calibri" w:hAnsi="Calibri"/>
          <w:b/>
          <w:bCs/>
        </w:rPr>
        <w:t xml:space="preserve">7. References (Selected)</w:t>
      </w:r>
    </w:p>
    <w:p>
      <w:pPr>
        <w:spacing w:after="160" w:line="276"/>
      </w:pPr>
      <w:r>
        <w:rPr>
          <w:rFonts w:ascii="Calibri" w:cs="Calibri" w:eastAsia="Calibri" w:hAnsi="Calibri"/>
          <w:sz w:val="20"/>
          <w:szCs w:val="20"/>
        </w:rPr>
        <w:t xml:space="preserve">Climate Action Tracker (2026). Nigeria — Country Profile and Net Zero Targets. climateactiontracker.org/countries/nigeria</w:t>
      </w:r>
    </w:p>
    <w:p>
      <w:pPr>
        <w:spacing w:after="160" w:line="276"/>
      </w:pPr>
      <w:r>
        <w:rPr>
          <w:rFonts w:ascii="Calibri" w:cs="Calibri" w:eastAsia="Calibri" w:hAnsi="Calibri"/>
          <w:sz w:val="20"/>
          <w:szCs w:val="20"/>
        </w:rPr>
        <w:t xml:space="preserve">Federal Republic of Nigeria (2021). Climate Change Act.</w:t>
      </w:r>
    </w:p>
    <w:p>
      <w:pPr>
        <w:spacing w:after="160" w:line="276"/>
      </w:pPr>
      <w:r>
        <w:rPr>
          <w:rFonts w:ascii="Calibri" w:cs="Calibri" w:eastAsia="Calibri" w:hAnsi="Calibri"/>
          <w:sz w:val="20"/>
          <w:szCs w:val="20"/>
        </w:rPr>
        <w:t xml:space="preserve">Federal Republic of Nigeria (2022, updated 2024). Energy Transition Plan.</w:t>
      </w:r>
    </w:p>
    <w:p>
      <w:pPr>
        <w:spacing w:after="160" w:line="276"/>
      </w:pPr>
      <w:r>
        <w:rPr>
          <w:rFonts w:ascii="Calibri" w:cs="Calibri" w:eastAsia="Calibri" w:hAnsi="Calibri"/>
          <w:sz w:val="20"/>
          <w:szCs w:val="20"/>
        </w:rPr>
        <w:t xml:space="preserve">Federal Republic of Nigeria (2024). Long-Term Low-Emissions Development Strategy (LT-LEDS).</w:t>
      </w:r>
    </w:p>
    <w:p>
      <w:pPr>
        <w:spacing w:after="160" w:line="276"/>
      </w:pPr>
      <w:r>
        <w:rPr>
          <w:rFonts w:ascii="Calibri" w:cs="Calibri" w:eastAsia="Calibri" w:hAnsi="Calibri"/>
          <w:sz w:val="20"/>
          <w:szCs w:val="20"/>
        </w:rPr>
        <w:t xml:space="preserve">World Bank Global Gas Flaring Reduction Partnership (GGFR). Global Gas Flaring Tracker Reports.</w:t>
      </w:r>
    </w:p>
    <w:p>
      <w:pPr>
        <w:spacing w:after="160" w:line="276"/>
      </w:pPr>
      <w:r>
        <w:rPr>
          <w:rFonts w:ascii="Calibri" w:cs="Calibri" w:eastAsia="Calibri" w:hAnsi="Calibri"/>
          <w:sz w:val="20"/>
          <w:szCs w:val="20"/>
        </w:rPr>
        <w:t xml:space="preserve">NOSDRA (2026). Nigerian Gas Flare Tracker. nosdra.gasflaretracker.ng</w:t>
      </w:r>
    </w:p>
    <w:p>
      <w:pPr>
        <w:spacing w:after="160" w:line="276"/>
      </w:pPr>
      <w:r>
        <w:rPr>
          <w:rFonts w:ascii="Calibri" w:cs="Calibri" w:eastAsia="Calibri" w:hAnsi="Calibri"/>
          <w:sz w:val="20"/>
          <w:szCs w:val="20"/>
        </w:rPr>
        <w:t xml:space="preserve">IEA (2026). State of Energy Policy 2026 — Climate Pledges.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Net Zero by 2060 — Research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2026-08-27T22:32:57.710Z</dcterms:created>
  <dcterms:modified xsi:type="dcterms:W3CDTF">2026-08-27T22:32:57.710Z</dcterms:modified>
</cp:coreProperties>
</file>

<file path=docProps/custom.xml><?xml version="1.0" encoding="utf-8"?>
<Properties xmlns="http://schemas.openxmlformats.org/officeDocument/2006/custom-properties" xmlns:vt="http://schemas.openxmlformats.org/officeDocument/2006/docPropsVTypes"/>
</file>