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Pathways to Net-Zero by 2060:</w:t>
      </w:r>
    </w:p>
    <w:p>
      <w:pPr>
        <w:spacing w:after="300"/>
        <w:jc w:val="center"/>
      </w:pPr>
      <w:r>
        <w:rPr>
          <w:rFonts w:ascii="Times New Roman" w:cs="Times New Roman" w:eastAsia="Times New Roman" w:hAnsi="Times New Roman"/>
          <w:b/>
          <w:bCs/>
          <w:sz w:val="28"/>
          <w:szCs w:val="28"/>
        </w:rPr>
        <w:t xml:space="preserve">A Spatial-Econometric Assessment of Nigeria's Energy Transition Plan Implementation</w:t>
      </w:r>
    </w:p>
    <w:p>
      <w:pPr>
        <w:spacing w:after="400"/>
        <w:jc w:val="center"/>
      </w:pPr>
      <w:r>
        <w:rPr>
          <w:rFonts w:ascii="Times New Roman" w:cs="Times New Roman" w:eastAsia="Times New Roman" w:hAnsi="Times New Roman"/>
          <w:sz w:val="24"/>
          <w:szCs w:val="24"/>
        </w:rPr>
        <w:t xml:space="preserve">Isaac O. Ajao</w:t>
      </w:r>
      <w:r>
        <w:rPr>
          <w:rFonts w:ascii="Times New Roman" w:cs="Times New Roman" w:eastAsia="Times New Roman" w:hAnsi="Times New Roman"/>
          <w:i/>
          <w:iCs/>
          <w:sz w:val="22"/>
          <w:szCs w:val="22"/>
        </w:rPr>
        <w:br/>
        <w:t xml:space="preserve">
Department of Statistics, Federal Polytechnic Ado-Ekiti, Nigeria</w:t>
      </w:r>
    </w:p>
    <w:p>
      <w:pPr>
        <w:pStyle w:val="Heading1"/>
        <w:spacing w:after="160" w:before="320"/>
      </w:pPr>
      <w:r>
        <w:rPr>
          <w:rFonts w:ascii="Times New Roman" w:cs="Times New Roman" w:eastAsia="Times New Roman" w:hAnsi="Times New Roman"/>
          <w:b/>
          <w:bCs/>
          <w:sz w:val="26"/>
          <w:szCs w:val="26"/>
        </w:rPr>
        <w:t xml:space="preserve">Abstract</w:t>
      </w:r>
    </w:p>
    <w:p>
      <w:pPr>
        <w:spacing w:after="200" w:line="360"/>
        <w:jc w:val="both"/>
      </w:pPr>
      <w:r>
        <w:rPr>
          <w:rFonts w:ascii="Times New Roman" w:cs="Times New Roman" w:eastAsia="Times New Roman" w:hAnsi="Times New Roman"/>
          <w:i/>
          <w:iCs/>
          <w:sz w:val="24"/>
          <w:szCs w:val="24"/>
        </w:rPr>
        <w:t xml:space="preserve">Nigeria's pledge to reach net-zero greenhouse gas emissions by 2060 is anchored in the Climate Change Act (2021), the Energy Transition Plan (2022, updated 2024), and the Long-Term Low-Emissions Development Strategy (2024), yet implementation has visibly lagged and sub-national evidence on where and why emissions-related activity concentrates remains scarce. This study addresses that gap using a spatial-econometric approach. Onshore gas flaring sites (2012-2024) were geocoded to Nigeria's 36 states and the Federal Capital Territory using satellite-derived flare-volume data from the Global Gas Flaring Reduction (GGFR) partnership. Global and local Moran's I statistics reveal strong, persistent spatial clustering of onshore flaring intensity (I = 0.37-0.59, p &lt; 0.001 in every year, 2012-2024), concentrated in a significant High-High cluster comprising Delta, Rivers, and Bayelsa states. Spatial lag and error models show that onshore flare-site density, not electricity access, is the dominant predictor of this clustering (coefficient = 37.5-39.0, p &lt; 0.001), and that controlling for site density collapses the spatial autocorrelation nearly to zero - indicating that flaring clusters spatially because oil and gas infrastructure itself is spatially clustered, not because of differences in general economic development. At the national level, an ARDL error-correction model (1995-2024) finds a significant, correctly-signed error-correction term (-0.699, p = 0.003), indicating a genuine long-run equilibrium relationship between CO2 emissions, GDP, and energy use, though the formal bounds test could not be computed due to a documented degrees-of-freedom limitation common to short annual macro series. The post-2021 policy shift is not yet statistically distinguishable from pre-2021 trends, consistent with the short observation window available. These findings suggest that Nigeria's flaring-reduction efforts, and the financing envisioned under the 2026 Net-Zero Investment Plan, would be most effectively targeted at the small number of oil-producing states responsible for the overwhelming majority of onshore flaring, rather than distributed by general economic or electrification criteria.</w:t>
      </w:r>
    </w:p>
    <w:p>
      <w:pPr>
        <w:spacing w:after="200" w:line="360"/>
        <w:jc w:val="both"/>
      </w:pPr>
      <w:r>
        <w:rPr>
          <w:rFonts w:ascii="Times New Roman" w:cs="Times New Roman" w:eastAsia="Times New Roman" w:hAnsi="Times New Roman"/>
          <w:sz w:val="24"/>
          <w:szCs w:val="24"/>
        </w:rPr>
        <w:t xml:space="preserve">Keywords: gas flaring, spatial econometrics, Moran's I, ARDL bounds testing, Nigeria, net-zero, energy transition</w:t>
      </w:r>
    </w:p>
    <w:p>
      <w:pPr>
        <w:pStyle w:val="Heading1"/>
        <w:spacing w:after="160" w:before="320"/>
      </w:pPr>
      <w:r>
        <w:rPr>
          <w:rFonts w:ascii="Times New Roman" w:cs="Times New Roman" w:eastAsia="Times New Roman" w:hAnsi="Times New Roman"/>
          <w:b/>
          <w:bCs/>
          <w:sz w:val="26"/>
          <w:szCs w:val="26"/>
        </w:rPr>
        <w:t xml:space="preserve">1. Introduction</w:t>
      </w:r>
    </w:p>
    <w:p>
      <w:pPr>
        <w:spacing w:after="200" w:line="360"/>
        <w:jc w:val="both"/>
      </w:pPr>
      <w:r>
        <w:rPr>
          <w:rFonts w:ascii="Times New Roman" w:cs="Times New Roman" w:eastAsia="Times New Roman" w:hAnsi="Times New Roman"/>
          <w:sz w:val="24"/>
          <w:szCs w:val="24"/>
        </w:rPr>
        <w:t xml:space="preserve">Nigeria's pledge to achieve net-zero greenhouse gas emissions by 2060 - announced at COP26 in 2021 and reaffirmed since - is backed by a legal and strategic framework: the Climate Change Act (2021), the Energy Transition Plan (ETP, 2022, updated 2024), the Long-Term Low-Emissions Development Strategy (LT-LEDS, 2024), and, most recently, a Net-Zero Investment Plan launched in May 2026. Despite this framework, implementation has visibly lagged. Statutory deadlines under the Climate Change Act - including the pilot National Climate Change Action Plan and first carbon budget, both due by November 2022 - remain unmet. The ETP itself relies heavily on action after 2030, while national energy policy through the current decade continues to prioritise gas expansion under a stated "Decade of Gas" strategy.</w:t>
      </w:r>
    </w:p>
    <w:p>
      <w:pPr>
        <w:spacing w:after="200" w:line="360"/>
        <w:jc w:val="both"/>
      </w:pPr>
      <w:r>
        <w:rPr>
          <w:rFonts w:ascii="Times New Roman" w:cs="Times New Roman" w:eastAsia="Times New Roman" w:hAnsi="Times New Roman"/>
          <w:sz w:val="24"/>
          <w:szCs w:val="24"/>
        </w:rPr>
        <w:t xml:space="preserve">What is largely missing from this picture is empirical, sub-national evidence: an assessment of where emissions-related activity is concentrated, how it is trending, and which regional characteristics predict faster or slower progress. This gap matters because Nigeria's transition financing will need to be targeted geographically and sectorally to be effective, and because Nigeria lacks an official state-level greenhouse gas emissions inventory, making sub-national analysis dependent on defensible proxy measures rather than direct measurement.</w:t>
      </w:r>
    </w:p>
    <w:p>
      <w:pPr>
        <w:spacing w:after="200" w:line="360"/>
        <w:jc w:val="both"/>
      </w:pPr>
      <w:r>
        <w:rPr>
          <w:rFonts w:ascii="Times New Roman" w:cs="Times New Roman" w:eastAsia="Times New Roman" w:hAnsi="Times New Roman"/>
          <w:sz w:val="24"/>
          <w:szCs w:val="24"/>
        </w:rPr>
        <w:t xml:space="preserve">This study addresses the gap in two complementary ways. First, using satellite-derived gas flaring data geocoded to the state level, it tests whether flaring intensity - a major, geolocatable source of associated-gas emissions - exhibits significant spatial clustering across Nigerian states (RQ1), and whether that clustering is explained by electrification levels or by the physical density of oil and gas infrastructure itself (RQ2). Second, using a national annual time series (1995-2024), it estimates the long-run and short-run relationship between CO2 emissions, GDP, and energy use, and tests whether this relationship shifted following the 2021 Climate Change Act (RQ3). Together, these analyses provide an evidence base for targeting Nigeria's net-zero implementation efforts at both the sub-national and national level.</w:t>
      </w:r>
    </w:p>
    <w:p>
      <w:pPr>
        <w:pStyle w:val="Heading1"/>
        <w:spacing w:after="160" w:before="320"/>
      </w:pPr>
      <w:r>
        <w:rPr>
          <w:rFonts w:ascii="Times New Roman" w:cs="Times New Roman" w:eastAsia="Times New Roman" w:hAnsi="Times New Roman"/>
          <w:b/>
          <w:bCs/>
          <w:sz w:val="26"/>
          <w:szCs w:val="26"/>
        </w:rPr>
        <w:t xml:space="preserve">2. Literature Review</w:t>
      </w:r>
    </w:p>
    <w:p>
      <w:pPr>
        <w:spacing w:after="200" w:line="360"/>
        <w:jc w:val="both"/>
      </w:pPr>
      <w:r>
        <w:rPr>
          <w:rFonts w:ascii="Times New Roman" w:cs="Times New Roman" w:eastAsia="Times New Roman" w:hAnsi="Times New Roman"/>
          <w:sz w:val="24"/>
          <w:szCs w:val="24"/>
        </w:rPr>
        <w:t xml:space="preserve">The relationship between economic growth, energy consumption, and CO2 emissions in Nigeria has been examined extensively using the autoregressive distributed lag (ARDL) bounds-testing approach introduced by Pesaran, Shin and Smith (2001), which accommodates a mixture of I(0) and I(1) regressors and performs well in the short annual samples typical of country-level emissions research. Sulaiman and Abdul-Rahim (2018) applied a recursive ARDL approach to population growth and CO2 emissions in Nigeria, finding evidence of a long-run relationship and structural stability over the study period using CUSUM-based tests - a diagnostic approach this study also employs. Musa, Chindo and Maijama'a (2021) examined the financial development-emissions nexus in Nigeria (1981-2019) using the same bounds-testing framework, again confirming cointegration among macro-financial and emissions variables. A related body of work has focused specifically on gas flaring as a driver of Nigerian emissions and economic loss, applying ARDL and related cointegration techniques to flaring, gas utilization, and economic growth series.</w:t>
      </w:r>
    </w:p>
    <w:p>
      <w:pPr>
        <w:spacing w:after="200" w:line="360"/>
        <w:jc w:val="both"/>
      </w:pPr>
      <w:r>
        <w:rPr>
          <w:rFonts w:ascii="Times New Roman" w:cs="Times New Roman" w:eastAsia="Times New Roman" w:hAnsi="Times New Roman"/>
          <w:sz w:val="24"/>
          <w:szCs w:val="24"/>
        </w:rPr>
        <w:t xml:space="preserve">Spatially, the local indicators of spatial association (LISA) framework developed by Anselin (1995) - building on global measures of spatial autocorrelation such as Moran's I - provides the standard toolkit for identifying which specific locations drive an observed clustering pattern, distinguishing genuine hotspots (High-High) from spatial outliers (High-Low, Low-High). This study applies that framework to sub-national gas flaring in Nigeria, an application that, to the author's knowledge, has not previously combined site-level satellite flaring data with formal spatial econometric testing at the state level for Nigeria specifically. This literature review reflects a starting set of verifiable sources; a fuller submission-ready review would expand this section considerably, particularly around comparative net-zero pathways literature for South Africa and India.</w:t>
      </w:r>
    </w:p>
    <w:p>
      <w:pPr>
        <w:pStyle w:val="Heading1"/>
        <w:spacing w:after="160" w:before="320"/>
      </w:pPr>
      <w:r>
        <w:rPr>
          <w:rFonts w:ascii="Times New Roman" w:cs="Times New Roman" w:eastAsia="Times New Roman" w:hAnsi="Times New Roman"/>
          <w:b/>
          <w:bCs/>
          <w:sz w:val="26"/>
          <w:szCs w:val="26"/>
        </w:rPr>
        <w:t xml:space="preserve">3. Data and Methodology</w:t>
      </w:r>
    </w:p>
    <w:p>
      <w:pPr>
        <w:pStyle w:val="Heading2"/>
        <w:spacing w:after="120" w:before="240"/>
      </w:pPr>
      <w:r>
        <w:rPr>
          <w:rFonts w:ascii="Times New Roman" w:cs="Times New Roman" w:eastAsia="Times New Roman" w:hAnsi="Times New Roman"/>
          <w:b/>
          <w:bCs/>
          <w:i/>
          <w:iCs/>
          <w:sz w:val="24"/>
          <w:szCs w:val="24"/>
        </w:rPr>
        <w:t xml:space="preserve">3.1 Research Objectives and Questions</w:t>
      </w:r>
    </w:p>
    <w:p>
      <w:pPr>
        <w:spacing w:after="200" w:line="360"/>
        <w:jc w:val="both"/>
      </w:pPr>
      <w:r>
        <w:rPr>
          <w:rFonts w:ascii="Times New Roman" w:cs="Times New Roman" w:eastAsia="Times New Roman" w:hAnsi="Times New Roman"/>
          <w:sz w:val="24"/>
          <w:szCs w:val="24"/>
        </w:rPr>
        <w:t xml:space="preserve">The study pursues three objectives, summarised in Table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rPr>
          <w:tblHeader/>
        </w:trPr>
        <w:tc>
          <w:tcPr>
            <w:tcW w:type="dxa" w:w="4650"/>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Objective</w:t>
            </w:r>
          </w:p>
        </w:tc>
        <w:tc>
          <w:tcPr>
            <w:tcW w:type="dxa" w:w="4700"/>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Research Question</w:t>
            </w:r>
          </w:p>
        </w:tc>
      </w:tr>
      <w:tr>
        <w:tc>
          <w:tcPr>
            <w:tcW w:type="dxa" w:w="465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Assess spatial clustering of onshore flaring intensity</w:t>
            </w:r>
          </w:p>
        </w:tc>
        <w:tc>
          <w:tcPr>
            <w:tcW w:type="dxa" w:w="47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RQ1: Is there significant spatial autocorrelation in onshore flaring intensity across Nigerian states?</w:t>
            </w:r>
          </w:p>
        </w:tc>
      </w:tr>
      <w:tr>
        <w:tc>
          <w:tcPr>
            <w:tcW w:type="dxa" w:w="465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Identify predictors of sub-national flaring intensity</w:t>
            </w:r>
          </w:p>
        </w:tc>
        <w:tc>
          <w:tcPr>
            <w:tcW w:type="dxa" w:w="47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RQ2: Do electricity access and onshore flare-site density predict state-level flaring intensity, and do they explain the spatial clustering found in RQ1?</w:t>
            </w:r>
          </w:p>
        </w:tc>
      </w:tr>
      <w:tr>
        <w:tc>
          <w:tcPr>
            <w:tcW w:type="dxa" w:w="465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Assess the national emissions-growth-energy relationship and post-2021 policy shift</w:t>
            </w:r>
          </w:p>
        </w:tc>
        <w:tc>
          <w:tcPr>
            <w:tcW w:type="dxa" w:w="470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RQ3: What is the long-run and short-run relationship between CO2 emissions, GDP, and energy use nationally, and is there evidence of a shift associated with the 2021 Climate Change Act?</w:t>
            </w:r>
          </w:p>
        </w:tc>
      </w:tr>
    </w:tbl>
    <w:p>
      <w:pPr>
        <w:spacing w:after="200" w:line="360"/>
        <w:jc w:val="both"/>
      </w:pPr>
      <w:r>
        <w:rPr>
          <w:rFonts w:ascii="Times New Roman" w:cs="Times New Roman" w:eastAsia="Times New Roman" w:hAnsi="Times New Roman"/>
          <w:sz w:val="24"/>
          <w:szCs w:val="24"/>
        </w:rPr>
        <w:t xml:space="preserve"> </w:t>
      </w:r>
    </w:p>
    <w:p>
      <w:pPr>
        <w:pStyle w:val="Heading2"/>
        <w:spacing w:after="120" w:before="240"/>
      </w:pPr>
      <w:r>
        <w:rPr>
          <w:rFonts w:ascii="Times New Roman" w:cs="Times New Roman" w:eastAsia="Times New Roman" w:hAnsi="Times New Roman"/>
          <w:b/>
          <w:bCs/>
          <w:i/>
          <w:iCs/>
          <w:sz w:val="24"/>
          <w:szCs w:val="24"/>
        </w:rPr>
        <w:t xml:space="preserve">3.2 Sub-national spatial data</w:t>
      </w:r>
    </w:p>
    <w:p>
      <w:pPr>
        <w:spacing w:after="200" w:line="360"/>
        <w:jc w:val="both"/>
      </w:pPr>
      <w:r>
        <w:rPr>
          <w:rFonts w:ascii="Times New Roman" w:cs="Times New Roman" w:eastAsia="Times New Roman" w:hAnsi="Times New Roman"/>
          <w:sz w:val="24"/>
          <w:szCs w:val="24"/>
        </w:rPr>
        <w:t xml:space="preserve">Site-level gas flaring data (2012-2024) were obtained from the World Bank Global Gas Flaring Reduction (GGFR) partnership's satellite-derived flare volume estimates, which record each flare location's coordinates, onshore/offshore status, and annual flaring volume in million cubic metres. Nigeria-specific records (2,264 site-year observations) were extracted and geocoded to state boundaries using a spatial join against Nigeria's 36-state-plus-FCT administrative boundaries. Reconciliation against the national aggregate flaring series confirmed an exact match in every year, validating the geocoding procedure.</w:t>
      </w:r>
    </w:p>
    <w:p>
      <w:pPr>
        <w:spacing w:after="200" w:line="360"/>
        <w:jc w:val="both"/>
      </w:pPr>
      <w:r>
        <w:rPr>
          <w:rFonts w:ascii="Times New Roman" w:cs="Times New Roman" w:eastAsia="Times New Roman" w:hAnsi="Times New Roman"/>
          <w:sz w:val="24"/>
          <w:szCs w:val="24"/>
        </w:rPr>
        <w:t xml:space="preserve">Site-level geocoding shows that approximately 35-49% of national flaring volume originates from offshore fields (varying by year), which by definition cannot be attributed to any state jurisdiction. Rather than allocating offshore volumes to a state on the basis of an unverified proximity assumption, the sub-national spatial analysis is restricted to onshore flare sites only, geocoded to their state of occurrence. Offshore volumes are retained at the resolution at which they are actually measured - nationally - through the national flaring series described below. This division keeps each analysis's claims matched to the resolution its underlying data can support.</w:t>
      </w:r>
    </w:p>
    <w:p>
      <w:pPr>
        <w:spacing w:after="200" w:line="360"/>
        <w:jc w:val="both"/>
      </w:pPr>
      <w:r>
        <w:rPr>
          <w:rFonts w:ascii="Times New Roman" w:cs="Times New Roman" w:eastAsia="Times New Roman" w:hAnsi="Times New Roman"/>
          <w:sz w:val="24"/>
          <w:szCs w:val="24"/>
        </w:rPr>
        <w:t xml:space="preserve">Electricity access data (2018) were compiled from a Local Government Area (LGA)-level extract derived from Nigeria Demographic and Health Survey (NDHS) microdata (636 LGAs across all 37 states), aggregated to state-level means as a proxy for general socioeconomic development.</w:t>
      </w:r>
    </w:p>
    <w:p>
      <w:pPr>
        <w:pStyle w:val="Heading2"/>
        <w:spacing w:after="120" w:before="240"/>
      </w:pPr>
      <w:r>
        <w:rPr>
          <w:rFonts w:ascii="Times New Roman" w:cs="Times New Roman" w:eastAsia="Times New Roman" w:hAnsi="Times New Roman"/>
          <w:b/>
          <w:bCs/>
          <w:i/>
          <w:iCs/>
          <w:sz w:val="24"/>
          <w:szCs w:val="24"/>
        </w:rPr>
        <w:t xml:space="preserve">3.3 Spatial econometric methods</w:t>
      </w:r>
    </w:p>
    <w:p>
      <w:pPr>
        <w:spacing w:after="200" w:line="360"/>
        <w:jc w:val="both"/>
      </w:pPr>
      <w:r>
        <w:rPr>
          <w:rFonts w:ascii="Times New Roman" w:cs="Times New Roman" w:eastAsia="Times New Roman" w:hAnsi="Times New Roman"/>
          <w:sz w:val="24"/>
          <w:szCs w:val="24"/>
        </w:rPr>
        <w:t xml:space="preserve">Global spatial autocorrelation in onshore flaring intensity was assessed using global Moran's I (Moran, 1950):</w:t>
      </w:r>
    </w:p>
    <w:p>
      <w:pPr>
        <w:spacing w:after="200" w:before="120"/>
        <w:jc w:val="center"/>
      </w:pPr>
      <w:r>
        <w:rPr>
          <w:rFonts w:ascii="Cambria Math" w:cs="Cambria Math" w:eastAsia="Cambria Math" w:hAnsi="Cambria Math"/>
          <w:i/>
          <w:iCs/>
          <w:sz w:val="24"/>
          <w:szCs w:val="24"/>
        </w:rPr>
        <w:t xml:space="preserve">I</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n</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S</w:t>
      </w:r>
      <w:r>
        <w:rPr>
          <w:rFonts w:ascii="Cambria Math" w:cs="Cambria Math" w:eastAsia="Cambria Math" w:hAnsi="Cambria Math"/>
          <w:i/>
          <w:iCs/>
          <w:sz w:val="18"/>
          <w:szCs w:val="18"/>
          <w:vertAlign w:val="subscript"/>
        </w:rPr>
        <w:t xml:space="preserve">0</w:t>
      </w:r>
      <w:r>
        <w:rPr>
          <w:rFonts w:ascii="Cambria Math" w:cs="Cambria Math" w:eastAsia="Cambria Math" w:hAnsi="Cambria Math"/>
          <w:i w:val="false"/>
          <w:iCs w:val="false"/>
          <w:sz w:val="24"/>
          <w:szCs w:val="24"/>
        </w:rPr>
        <w:t xml:space="preserve">) × [Σ</w:t>
      </w:r>
      <w:r>
        <w:rPr>
          <w:rFonts w:ascii="Cambria Math" w:cs="Cambria Math" w:eastAsia="Cambria Math" w:hAnsi="Cambria Math"/>
          <w:i/>
          <w:iCs/>
          <w:sz w:val="18"/>
          <w:szCs w:val="18"/>
          <w:vertAlign w:val="subscript"/>
        </w:rPr>
        <w:t xml:space="preserve">i</w:t>
      </w:r>
      <w:r>
        <w:rPr>
          <w:rFonts w:ascii="Cambria Math" w:cs="Cambria Math" w:eastAsia="Cambria Math" w:hAnsi="Cambria Math"/>
          <w:i/>
          <w:iCs/>
          <w:sz w:val="24"/>
          <w:szCs w:val="24"/>
        </w:rPr>
        <w:t xml:space="preserve">Σ</w:t>
      </w:r>
      <w:r>
        <w:rPr>
          <w:rFonts w:ascii="Cambria Math" w:cs="Cambria Math" w:eastAsia="Cambria Math" w:hAnsi="Cambria Math"/>
          <w:i/>
          <w:iCs/>
          <w:sz w:val="18"/>
          <w:szCs w:val="18"/>
          <w:vertAlign w:val="subscript"/>
        </w:rPr>
        <w:t xml:space="preserve">j</w:t>
      </w:r>
      <w:r>
        <w:rPr>
          <w:rFonts w:ascii="Cambria Math" w:cs="Cambria Math" w:eastAsia="Cambria Math" w:hAnsi="Cambria Math"/>
          <w:i/>
          <w:iCs/>
          <w:sz w:val="24"/>
          <w:szCs w:val="24"/>
        </w:rPr>
        <w:t xml:space="preserve">w</w:t>
      </w:r>
      <w:r>
        <w:rPr>
          <w:rFonts w:ascii="Cambria Math" w:cs="Cambria Math" w:eastAsia="Cambria Math" w:hAnsi="Cambria Math"/>
          <w:i/>
          <w:iCs/>
          <w:sz w:val="18"/>
          <w:szCs w:val="18"/>
          <w:vertAlign w:val="subscript"/>
        </w:rPr>
        <w:t xml:space="preserve">ij</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x</w:t>
      </w:r>
      <w:r>
        <w:rPr>
          <w:rFonts w:ascii="Cambria Math" w:cs="Cambria Math" w:eastAsia="Cambria Math" w:hAnsi="Cambria Math"/>
          <w:i/>
          <w:iCs/>
          <w:sz w:val="18"/>
          <w:szCs w:val="18"/>
          <w:vertAlign w:val="subscript"/>
        </w:rPr>
        <w:t xml:space="preserve">i</w:t>
      </w:r>
      <w:r>
        <w:rPr>
          <w:rFonts w:ascii="Cambria Math" w:cs="Cambria Math" w:eastAsia="Cambria Math" w:hAnsi="Cambria Math"/>
          <w:i w:val="false"/>
          <w:iCs w:val="false"/>
          <w:sz w:val="24"/>
          <w:szCs w:val="24"/>
        </w:rPr>
        <w:t xml:space="preserve"> − x̄)(</w:t>
      </w:r>
      <w:r>
        <w:rPr>
          <w:rFonts w:ascii="Cambria Math" w:cs="Cambria Math" w:eastAsia="Cambria Math" w:hAnsi="Cambria Math"/>
          <w:i/>
          <w:iCs/>
          <w:sz w:val="24"/>
          <w:szCs w:val="24"/>
        </w:rPr>
        <w:t xml:space="preserve">x</w:t>
      </w:r>
      <w:r>
        <w:rPr>
          <w:rFonts w:ascii="Cambria Math" w:cs="Cambria Math" w:eastAsia="Cambria Math" w:hAnsi="Cambria Math"/>
          <w:i/>
          <w:iCs/>
          <w:sz w:val="18"/>
          <w:szCs w:val="18"/>
          <w:vertAlign w:val="subscript"/>
        </w:rPr>
        <w:t xml:space="preserve">j</w:t>
      </w:r>
      <w:r>
        <w:rPr>
          <w:rFonts w:ascii="Cambria Math" w:cs="Cambria Math" w:eastAsia="Cambria Math" w:hAnsi="Cambria Math"/>
          <w:i w:val="false"/>
          <w:iCs w:val="false"/>
          <w:sz w:val="24"/>
          <w:szCs w:val="24"/>
        </w:rPr>
        <w:t xml:space="preserve"> − x̄)] ⁄ Σ</w:t>
      </w:r>
      <w:r>
        <w:rPr>
          <w:rFonts w:ascii="Cambria Math" w:cs="Cambria Math" w:eastAsia="Cambria Math" w:hAnsi="Cambria Math"/>
          <w:i/>
          <w:iCs/>
          <w:sz w:val="18"/>
          <w:szCs w:val="18"/>
          <w:vertAlign w:val="subscript"/>
        </w:rPr>
        <w:t xml:space="preserve">i</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x</w:t>
      </w:r>
      <w:r>
        <w:rPr>
          <w:rFonts w:ascii="Cambria Math" w:cs="Cambria Math" w:eastAsia="Cambria Math" w:hAnsi="Cambria Math"/>
          <w:i/>
          <w:iCs/>
          <w:sz w:val="18"/>
          <w:szCs w:val="18"/>
          <w:vertAlign w:val="subscript"/>
        </w:rPr>
        <w:t xml:space="preserve">i</w:t>
      </w:r>
      <w:r>
        <w:rPr>
          <w:rFonts w:ascii="Cambria Math" w:cs="Cambria Math" w:eastAsia="Cambria Math" w:hAnsi="Cambria Math"/>
          <w:i w:val="false"/>
          <w:iCs w:val="false"/>
          <w:sz w:val="24"/>
          <w:szCs w:val="24"/>
        </w:rPr>
        <w:t xml:space="preserve"> − x̄)</w:t>
      </w:r>
      <w:r>
        <w:rPr>
          <w:rFonts w:ascii="Cambria Math" w:cs="Cambria Math" w:eastAsia="Cambria Math" w:hAnsi="Cambria Math"/>
          <w:i/>
          <w:iCs/>
          <w:sz w:val="18"/>
          <w:szCs w:val="18"/>
          <w:vertAlign w:val="superscript"/>
        </w:rPr>
        <w:t xml:space="preserve">2</w:t>
      </w:r>
      <w:r>
        <w:rPr>
          <w:rFonts w:ascii="Times New Roman" w:cs="Times New Roman" w:eastAsia="Times New Roman" w:hAnsi="Times New Roman"/>
          <w:i w:val="false"/>
          <w:iCs w:val="false"/>
          <w:sz w:val="22"/>
          <w:szCs w:val="22"/>
        </w:rPr>
        <w:t xml:space="preserve">   (1)</w:t>
      </w:r>
    </w:p>
    <w:p>
      <w:pPr>
        <w:spacing w:after="200" w:line="360"/>
        <w:jc w:val="both"/>
      </w:pPr>
      <w:r>
        <w:rPr>
          <w:rFonts w:ascii="Times New Roman" w:cs="Times New Roman" w:eastAsia="Times New Roman" w:hAnsi="Times New Roman"/>
          <w:sz w:val="24"/>
          <w:szCs w:val="24"/>
        </w:rPr>
        <w:t xml:space="preserve">where n is the number of states, xᵢ and xⱼ are flaring intensity values for states i and j, x̄ is the sample mean, wᵢⱼ is an element of the row-standardised queen-contiguity spatial weights matrix W, and S₀ = ΣᵢΣⱼ wᵢⱼ is the sum of all weights. I was computed both year-by-year (2012-2024) and on the full-period state average, with significance assessed under the randomisation assumption.</w:t>
      </w:r>
    </w:p>
    <w:p>
      <w:pPr>
        <w:spacing w:after="200" w:line="360"/>
        <w:jc w:val="both"/>
      </w:pPr>
      <w:r>
        <w:rPr>
          <w:rFonts w:ascii="Times New Roman" w:cs="Times New Roman" w:eastAsia="Times New Roman" w:hAnsi="Times New Roman"/>
          <w:sz w:val="24"/>
          <w:szCs w:val="24"/>
        </w:rPr>
        <w:t xml:space="preserve">To identify which specific states drive the global clustering result, local indicators of spatial association (LISA; Anselin, 1995) were computed for each state i:</w:t>
      </w:r>
    </w:p>
    <w:p>
      <w:pPr>
        <w:spacing w:after="200" w:before="120"/>
        <w:jc w:val="center"/>
      </w:pPr>
      <w:r>
        <w:rPr>
          <w:rFonts w:ascii="Cambria Math" w:cs="Cambria Math" w:eastAsia="Cambria Math" w:hAnsi="Cambria Math"/>
          <w:i/>
          <w:iCs/>
          <w:sz w:val="24"/>
          <w:szCs w:val="24"/>
        </w:rPr>
        <w:t xml:space="preserve">I</w:t>
      </w:r>
      <w:r>
        <w:rPr>
          <w:rFonts w:ascii="Cambria Math" w:cs="Cambria Math" w:eastAsia="Cambria Math" w:hAnsi="Cambria Math"/>
          <w:i/>
          <w:iCs/>
          <w:sz w:val="18"/>
          <w:szCs w:val="18"/>
          <w:vertAlign w:val="subscript"/>
        </w:rPr>
        <w:t xml:space="preserve">i</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x</w:t>
      </w:r>
      <w:r>
        <w:rPr>
          <w:rFonts w:ascii="Cambria Math" w:cs="Cambria Math" w:eastAsia="Cambria Math" w:hAnsi="Cambria Math"/>
          <w:i/>
          <w:iCs/>
          <w:sz w:val="18"/>
          <w:szCs w:val="18"/>
          <w:vertAlign w:val="subscript"/>
        </w:rPr>
        <w:t xml:space="preserve">i</w:t>
      </w:r>
      <w:r>
        <w:rPr>
          <w:rFonts w:ascii="Cambria Math" w:cs="Cambria Math" w:eastAsia="Cambria Math" w:hAnsi="Cambria Math"/>
          <w:i w:val="false"/>
          <w:iCs w:val="false"/>
          <w:sz w:val="24"/>
          <w:szCs w:val="24"/>
        </w:rPr>
        <w:t xml:space="preserve"> − x̄) ⁄ </w:t>
      </w:r>
      <w:r>
        <w:rPr>
          <w:rFonts w:ascii="Cambria Math" w:cs="Cambria Math" w:eastAsia="Cambria Math" w:hAnsi="Cambria Math"/>
          <w:i/>
          <w:iCs/>
          <w:sz w:val="24"/>
          <w:szCs w:val="24"/>
        </w:rPr>
        <w:t xml:space="preserve">m</w:t>
      </w:r>
      <w:r>
        <w:rPr>
          <w:rFonts w:ascii="Cambria Math" w:cs="Cambria Math" w:eastAsia="Cambria Math" w:hAnsi="Cambria Math"/>
          <w:i/>
          <w:iCs/>
          <w:sz w:val="18"/>
          <w:szCs w:val="18"/>
          <w:vertAlign w:val="subscript"/>
        </w:rPr>
        <w:t xml:space="preserve">2</w:t>
      </w:r>
      <w:r>
        <w:rPr>
          <w:rFonts w:ascii="Cambria Math" w:cs="Cambria Math" w:eastAsia="Cambria Math" w:hAnsi="Cambria Math"/>
          <w:i w:val="false"/>
          <w:iCs w:val="false"/>
          <w:sz w:val="24"/>
          <w:szCs w:val="24"/>
        </w:rPr>
        <w:t xml:space="preserve">] Σ</w:t>
      </w:r>
      <w:r>
        <w:rPr>
          <w:rFonts w:ascii="Cambria Math" w:cs="Cambria Math" w:eastAsia="Cambria Math" w:hAnsi="Cambria Math"/>
          <w:i/>
          <w:iCs/>
          <w:sz w:val="18"/>
          <w:szCs w:val="18"/>
          <w:vertAlign w:val="subscript"/>
        </w:rPr>
        <w:t xml:space="preserve">j</w:t>
      </w:r>
      <w:r>
        <w:rPr>
          <w:rFonts w:ascii="Cambria Math" w:cs="Cambria Math" w:eastAsia="Cambria Math" w:hAnsi="Cambria Math"/>
          <w:i/>
          <w:iCs/>
          <w:sz w:val="24"/>
          <w:szCs w:val="24"/>
        </w:rPr>
        <w:t xml:space="preserve">w</w:t>
      </w:r>
      <w:r>
        <w:rPr>
          <w:rFonts w:ascii="Cambria Math" w:cs="Cambria Math" w:eastAsia="Cambria Math" w:hAnsi="Cambria Math"/>
          <w:i/>
          <w:iCs/>
          <w:sz w:val="18"/>
          <w:szCs w:val="18"/>
          <w:vertAlign w:val="subscript"/>
        </w:rPr>
        <w:t xml:space="preserve">ij</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x</w:t>
      </w:r>
      <w:r>
        <w:rPr>
          <w:rFonts w:ascii="Cambria Math" w:cs="Cambria Math" w:eastAsia="Cambria Math" w:hAnsi="Cambria Math"/>
          <w:i/>
          <w:iCs/>
          <w:sz w:val="18"/>
          <w:szCs w:val="18"/>
          <w:vertAlign w:val="subscript"/>
        </w:rPr>
        <w:t xml:space="preserve">j</w:t>
      </w:r>
      <w:r>
        <w:rPr>
          <w:rFonts w:ascii="Cambria Math" w:cs="Cambria Math" w:eastAsia="Cambria Math" w:hAnsi="Cambria Math"/>
          <w:i w:val="false"/>
          <w:iCs w:val="false"/>
          <w:sz w:val="24"/>
          <w:szCs w:val="24"/>
        </w:rPr>
        <w:t xml:space="preserve"> − x̄),   </w:t>
      </w:r>
      <w:r>
        <w:rPr>
          <w:rFonts w:ascii="Cambria Math" w:cs="Cambria Math" w:eastAsia="Cambria Math" w:hAnsi="Cambria Math"/>
          <w:i/>
          <w:iCs/>
          <w:sz w:val="24"/>
          <w:szCs w:val="24"/>
        </w:rPr>
        <w:t xml:space="preserve">m</w:t>
      </w:r>
      <w:r>
        <w:rPr>
          <w:rFonts w:ascii="Cambria Math" w:cs="Cambria Math" w:eastAsia="Cambria Math" w:hAnsi="Cambria Math"/>
          <w:i/>
          <w:iCs/>
          <w:sz w:val="18"/>
          <w:szCs w:val="18"/>
          <w:vertAlign w:val="subscript"/>
        </w:rPr>
        <w:t xml:space="preserve">2</w:t>
      </w:r>
      <w:r>
        <w:rPr>
          <w:rFonts w:ascii="Cambria Math" w:cs="Cambria Math" w:eastAsia="Cambria Math" w:hAnsi="Cambria Math"/>
          <w:i w:val="false"/>
          <w:iCs w:val="false"/>
          <w:sz w:val="24"/>
          <w:szCs w:val="24"/>
        </w:rPr>
        <w:t xml:space="preserve"> = Σ</w:t>
      </w:r>
      <w:r>
        <w:rPr>
          <w:rFonts w:ascii="Cambria Math" w:cs="Cambria Math" w:eastAsia="Cambria Math" w:hAnsi="Cambria Math"/>
          <w:i/>
          <w:iCs/>
          <w:sz w:val="18"/>
          <w:szCs w:val="18"/>
          <w:vertAlign w:val="subscript"/>
        </w:rPr>
        <w:t xml:space="preserve">i</w:t>
      </w:r>
      <w:r>
        <w:rPr>
          <w:rFonts w:ascii="Cambria Math" w:cs="Cambria Math" w:eastAsia="Cambria Math" w:hAnsi="Cambria Math"/>
          <w:i w:val="false"/>
          <w:iCs w:val="false"/>
          <w:sz w:val="24"/>
          <w:szCs w:val="24"/>
        </w:rPr>
        <w:t xml:space="preserve">(</w:t>
      </w:r>
      <w:r>
        <w:rPr>
          <w:rFonts w:ascii="Cambria Math" w:cs="Cambria Math" w:eastAsia="Cambria Math" w:hAnsi="Cambria Math"/>
          <w:i/>
          <w:iCs/>
          <w:sz w:val="24"/>
          <w:szCs w:val="24"/>
        </w:rPr>
        <w:t xml:space="preserve">x</w:t>
      </w:r>
      <w:r>
        <w:rPr>
          <w:rFonts w:ascii="Cambria Math" w:cs="Cambria Math" w:eastAsia="Cambria Math" w:hAnsi="Cambria Math"/>
          <w:i/>
          <w:iCs/>
          <w:sz w:val="18"/>
          <w:szCs w:val="18"/>
          <w:vertAlign w:val="subscript"/>
        </w:rPr>
        <w:t xml:space="preserve">i</w:t>
      </w:r>
      <w:r>
        <w:rPr>
          <w:rFonts w:ascii="Cambria Math" w:cs="Cambria Math" w:eastAsia="Cambria Math" w:hAnsi="Cambria Math"/>
          <w:i w:val="false"/>
          <w:iCs w:val="false"/>
          <w:sz w:val="24"/>
          <w:szCs w:val="24"/>
        </w:rPr>
        <w:t xml:space="preserve"> − x̄)</w:t>
      </w:r>
      <w:r>
        <w:rPr>
          <w:rFonts w:ascii="Cambria Math" w:cs="Cambria Math" w:eastAsia="Cambria Math" w:hAnsi="Cambria Math"/>
          <w:i/>
          <w:iCs/>
          <w:sz w:val="18"/>
          <w:szCs w:val="18"/>
          <w:vertAlign w:val="superscript"/>
        </w:rPr>
        <w:t xml:space="preserve">2</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n</w:t>
      </w:r>
      <w:r>
        <w:rPr>
          <w:rFonts w:ascii="Times New Roman" w:cs="Times New Roman" w:eastAsia="Times New Roman" w:hAnsi="Times New Roman"/>
          <w:i w:val="false"/>
          <w:iCs w:val="false"/>
          <w:sz w:val="22"/>
          <w:szCs w:val="22"/>
        </w:rPr>
        <w:t xml:space="preserve">   (2)</w:t>
      </w:r>
    </w:p>
    <w:p>
      <w:pPr>
        <w:spacing w:after="200" w:line="360"/>
        <w:jc w:val="both"/>
      </w:pPr>
      <w:r>
        <w:rPr>
          <w:rFonts w:ascii="Times New Roman" w:cs="Times New Roman" w:eastAsia="Times New Roman" w:hAnsi="Times New Roman"/>
          <w:sz w:val="24"/>
          <w:szCs w:val="24"/>
        </w:rPr>
        <w:t xml:space="preserve">Each state was classified as High-High, Low-Low, High-Low, Low-High, or not significant at the 5% level, based on the sign of its own value relative to the mean and the sign of its spatially lagged (neighbour-average) value.</w:t>
      </w:r>
    </w:p>
    <w:p>
      <w:pPr>
        <w:spacing w:after="200" w:line="360"/>
        <w:jc w:val="both"/>
      </w:pPr>
      <w:r>
        <w:rPr>
          <w:rFonts w:ascii="Times New Roman" w:cs="Times New Roman" w:eastAsia="Times New Roman" w:hAnsi="Times New Roman"/>
          <w:sz w:val="24"/>
          <w:szCs w:val="24"/>
        </w:rPr>
        <w:t xml:space="preserve">To identify predictors of the spatial pattern (RQ2), spatial lag and spatial error models were estimated with state-level average flaring intensity as the dependent variable and electricity access and onshore flare-site density as covariates. The spatial lag (spatial autoregressive) model takes the form:</w:t>
      </w:r>
    </w:p>
    <w:p>
      <w:pPr>
        <w:spacing w:after="200" w:before="120"/>
        <w:jc w:val="center"/>
      </w:pPr>
      <w:r>
        <w:rPr>
          <w:rFonts w:ascii="Cambria Math" w:cs="Cambria Math" w:eastAsia="Cambria Math" w:hAnsi="Cambria Math"/>
          <w:i/>
          <w:iCs/>
          <w:sz w:val="24"/>
          <w:szCs w:val="24"/>
        </w:rPr>
        <w:t xml:space="preserve">y</w:t>
      </w:r>
      <w:r>
        <w:rPr>
          <w:rFonts w:ascii="Cambria Math" w:cs="Cambria Math" w:eastAsia="Cambria Math" w:hAnsi="Cambria Math"/>
          <w:i w:val="false"/>
          <w:iCs w:val="false"/>
          <w:sz w:val="24"/>
          <w:szCs w:val="24"/>
        </w:rPr>
        <w:t xml:space="preserve"> = ρ</w:t>
      </w:r>
      <w:r>
        <w:rPr>
          <w:rFonts w:ascii="Cambria Math" w:cs="Cambria Math" w:eastAsia="Cambria Math" w:hAnsi="Cambria Math"/>
          <w:i/>
          <w:iCs/>
          <w:sz w:val="24"/>
          <w:szCs w:val="24"/>
        </w:rPr>
        <w:t xml:space="preserve">Wy</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Xβ</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ε</w:t>
      </w:r>
      <w:r>
        <w:rPr>
          <w:rFonts w:ascii="Times New Roman" w:cs="Times New Roman" w:eastAsia="Times New Roman" w:hAnsi="Times New Roman"/>
          <w:i w:val="false"/>
          <w:iCs w:val="false"/>
          <w:sz w:val="22"/>
          <w:szCs w:val="22"/>
        </w:rPr>
        <w:t xml:space="preserve">   (3)</w:t>
      </w:r>
    </w:p>
    <w:p>
      <w:pPr>
        <w:spacing w:after="200" w:line="360"/>
        <w:jc w:val="both"/>
      </w:pPr>
      <w:r>
        <w:rPr>
          <w:rFonts w:ascii="Times New Roman" w:cs="Times New Roman" w:eastAsia="Times New Roman" w:hAnsi="Times New Roman"/>
          <w:sz w:val="24"/>
          <w:szCs w:val="24"/>
        </w:rPr>
        <w:t xml:space="preserve">where y is the vector of state-level flaring intensities, W is the spatial weights matrix, ρ is the spatial autoregressive coefficient, X is the matrix of covariates (electricity access, onshore site density), β is the coefficient vector, and ε is the error term. The spatial error model instead specifies spatial dependence in the disturbance term:</w:t>
      </w:r>
    </w:p>
    <w:p>
      <w:pPr>
        <w:spacing w:after="200" w:before="120"/>
        <w:jc w:val="center"/>
      </w:pPr>
      <w:r>
        <w:rPr>
          <w:rFonts w:ascii="Cambria Math" w:cs="Cambria Math" w:eastAsia="Cambria Math" w:hAnsi="Cambria Math"/>
          <w:i/>
          <w:iCs/>
          <w:sz w:val="24"/>
          <w:szCs w:val="24"/>
        </w:rPr>
        <w:t xml:space="preserve">y</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Xβ</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u</w:t>
      </w:r>
      <w:r>
        <w:rPr>
          <w:rFonts w:ascii="Cambria Math" w:cs="Cambria Math" w:eastAsia="Cambria Math" w:hAnsi="Cambria Math"/>
          <w:i w:val="false"/>
          <w:iCs w:val="false"/>
          <w:sz w:val="24"/>
          <w:szCs w:val="24"/>
        </w:rPr>
        <w:t xml:space="preserve">,     </w:t>
      </w:r>
      <w:r>
        <w:rPr>
          <w:rFonts w:ascii="Cambria Math" w:cs="Cambria Math" w:eastAsia="Cambria Math" w:hAnsi="Cambria Math"/>
          <w:i/>
          <w:iCs/>
          <w:sz w:val="24"/>
          <w:szCs w:val="24"/>
        </w:rPr>
        <w:t xml:space="preserve">u</w:t>
      </w:r>
      <w:r>
        <w:rPr>
          <w:rFonts w:ascii="Cambria Math" w:cs="Cambria Math" w:eastAsia="Cambria Math" w:hAnsi="Cambria Math"/>
          <w:i w:val="false"/>
          <w:iCs w:val="false"/>
          <w:sz w:val="24"/>
          <w:szCs w:val="24"/>
        </w:rPr>
        <w:t xml:space="preserve"> = λ</w:t>
      </w:r>
      <w:r>
        <w:rPr>
          <w:rFonts w:ascii="Cambria Math" w:cs="Cambria Math" w:eastAsia="Cambria Math" w:hAnsi="Cambria Math"/>
          <w:i/>
          <w:iCs/>
          <w:sz w:val="24"/>
          <w:szCs w:val="24"/>
        </w:rPr>
        <w:t xml:space="preserve">Wu</w:t>
      </w:r>
      <w:r>
        <w:rPr>
          <w:rFonts w:ascii="Cambria Math" w:cs="Cambria Math" w:eastAsia="Cambria Math" w:hAnsi="Cambria Math"/>
          <w:i w:val="false"/>
          <w:iCs w:val="false"/>
          <w:sz w:val="24"/>
          <w:szCs w:val="24"/>
        </w:rPr>
        <w:t xml:space="preserve"> + </w:t>
      </w:r>
      <w:r>
        <w:rPr>
          <w:rFonts w:ascii="Cambria Math" w:cs="Cambria Math" w:eastAsia="Cambria Math" w:hAnsi="Cambria Math"/>
          <w:i/>
          <w:iCs/>
          <w:sz w:val="24"/>
          <w:szCs w:val="24"/>
        </w:rPr>
        <w:t xml:space="preserve">ε</w:t>
      </w:r>
      <w:r>
        <w:rPr>
          <w:rFonts w:ascii="Times New Roman" w:cs="Times New Roman" w:eastAsia="Times New Roman" w:hAnsi="Times New Roman"/>
          <w:i w:val="false"/>
          <w:iCs w:val="false"/>
          <w:sz w:val="22"/>
          <w:szCs w:val="22"/>
        </w:rPr>
        <w:t xml:space="preserve">   (4)</w:t>
      </w:r>
    </w:p>
    <w:p>
      <w:pPr>
        <w:spacing w:after="200" w:line="360"/>
        <w:jc w:val="both"/>
      </w:pPr>
      <w:r>
        <w:rPr>
          <w:rFonts w:ascii="Times New Roman" w:cs="Times New Roman" w:eastAsia="Times New Roman" w:hAnsi="Times New Roman"/>
          <w:sz w:val="24"/>
          <w:szCs w:val="24"/>
        </w:rPr>
        <w:t xml:space="preserve">where λ is the spatial autoregressive coefficient on the error term. Model choice between the two specifications followed standard Lagrange Multiplier diagnostics (Anselin et al., 1996).</w:t>
      </w:r>
    </w:p>
    <w:p>
      <w:pPr>
        <w:pStyle w:val="Heading2"/>
        <w:spacing w:after="120" w:before="240"/>
      </w:pPr>
      <w:r>
        <w:rPr>
          <w:rFonts w:ascii="Times New Roman" w:cs="Times New Roman" w:eastAsia="Times New Roman" w:hAnsi="Times New Roman"/>
          <w:b/>
          <w:bCs/>
          <w:i/>
          <w:iCs/>
          <w:sz w:val="24"/>
          <w:szCs w:val="24"/>
        </w:rPr>
        <w:t xml:space="preserve">3.4 National-level ARDL model</w:t>
      </w:r>
    </w:p>
    <w:p>
      <w:pPr>
        <w:spacing w:after="200" w:line="360"/>
        <w:jc w:val="both"/>
      </w:pPr>
      <w:r>
        <w:rPr>
          <w:rFonts w:ascii="Times New Roman" w:cs="Times New Roman" w:eastAsia="Times New Roman" w:hAnsi="Times New Roman"/>
          <w:sz w:val="24"/>
          <w:szCs w:val="24"/>
        </w:rPr>
        <w:t xml:space="preserve">The national CO2-GDP-energy relationship was estimated using the ARDL(p, q₁, q₂) bounds-testing approach of Pesaran, Shin and Smith (2001), which accommodates a mixture of I(0) and I(1) regressors. The general ARDL(p, q₁, q₂) specification, with a fixed (non-lagged) policy step-dummy Dₜ, is:</w:t>
      </w:r>
    </w:p>
    <w:p>
      <w:pPr>
        <w:spacing w:after="200" w:before="120"/>
        <w:jc w:val="center"/>
      </w:pPr>
      <w:r>
        <w:rPr>
          <w:rFonts w:ascii="Cambria Math" w:cs="Cambria Math" w:eastAsia="Cambria Math" w:hAnsi="Cambria Math"/>
          <w:i/>
          <w:iCs/>
          <w:sz w:val="24"/>
          <w:szCs w:val="24"/>
        </w:rPr>
        <w:t xml:space="preserve">y</w:t>
      </w:r>
      <w:r>
        <w:rPr>
          <w:rFonts w:ascii="Cambria Math" w:cs="Cambria Math" w:eastAsia="Cambria Math" w:hAnsi="Cambria Math"/>
          <w:i/>
          <w:iCs/>
          <w:sz w:val="18"/>
          <w:szCs w:val="18"/>
          <w:vertAlign w:val="subscript"/>
        </w:rPr>
        <w:t xml:space="preserve">t</w:t>
      </w:r>
      <w:r>
        <w:rPr>
          <w:rFonts w:ascii="Cambria Math" w:cs="Cambria Math" w:eastAsia="Cambria Math" w:hAnsi="Cambria Math"/>
          <w:i w:val="false"/>
          <w:iCs w:val="false"/>
          <w:sz w:val="24"/>
          <w:szCs w:val="24"/>
        </w:rPr>
        <w:t xml:space="preserve"> = α</w:t>
      </w:r>
      <w:r>
        <w:rPr>
          <w:rFonts w:ascii="Cambria Math" w:cs="Cambria Math" w:eastAsia="Cambria Math" w:hAnsi="Cambria Math"/>
          <w:i/>
          <w:iCs/>
          <w:sz w:val="18"/>
          <w:szCs w:val="18"/>
          <w:vertAlign w:val="subscript"/>
        </w:rPr>
        <w:t xml:space="preserve">0</w:t>
      </w:r>
      <w:r>
        <w:rPr>
          <w:rFonts w:ascii="Cambria Math" w:cs="Cambria Math" w:eastAsia="Cambria Math" w:hAnsi="Cambria Math"/>
          <w:i w:val="false"/>
          <w:iCs w:val="false"/>
          <w:sz w:val="24"/>
          <w:szCs w:val="24"/>
        </w:rPr>
        <w:t xml:space="preserve"> + Σ</w:t>
      </w:r>
      <w:r>
        <w:rPr>
          <w:rFonts w:ascii="Cambria Math" w:cs="Cambria Math" w:eastAsia="Cambria Math" w:hAnsi="Cambria Math"/>
          <w:i/>
          <w:iCs/>
          <w:sz w:val="18"/>
          <w:szCs w:val="18"/>
          <w:vertAlign w:val="subscript"/>
        </w:rPr>
        <w:t xml:space="preserve">i=1,...,p</w:t>
      </w:r>
      <w:r>
        <w:rPr>
          <w:rFonts w:ascii="Cambria Math" w:cs="Cambria Math" w:eastAsia="Cambria Math" w:hAnsi="Cambria Math"/>
          <w:i w:val="false"/>
          <w:iCs w:val="false"/>
          <w:sz w:val="24"/>
          <w:szCs w:val="24"/>
        </w:rPr>
        <w:t xml:space="preserve"> φ</w:t>
      </w:r>
      <w:r>
        <w:rPr>
          <w:rFonts w:ascii="Cambria Math" w:cs="Cambria Math" w:eastAsia="Cambria Math" w:hAnsi="Cambria Math"/>
          <w:i/>
          <w:iCs/>
          <w:sz w:val="18"/>
          <w:szCs w:val="18"/>
          <w:vertAlign w:val="subscript"/>
        </w:rPr>
        <w:t xml:space="preserve">i</w:t>
      </w:r>
      <w:r>
        <w:rPr>
          <w:rFonts w:ascii="Cambria Math" w:cs="Cambria Math" w:eastAsia="Cambria Math" w:hAnsi="Cambria Math"/>
          <w:i/>
          <w:iCs/>
          <w:sz w:val="24"/>
          <w:szCs w:val="24"/>
        </w:rPr>
        <w:t xml:space="preserve">y</w:t>
      </w:r>
      <w:r>
        <w:rPr>
          <w:rFonts w:ascii="Cambria Math" w:cs="Cambria Math" w:eastAsia="Cambria Math" w:hAnsi="Cambria Math"/>
          <w:i/>
          <w:iCs/>
          <w:sz w:val="18"/>
          <w:szCs w:val="18"/>
          <w:vertAlign w:val="subscript"/>
        </w:rPr>
        <w:t xml:space="preserve">t−i</w:t>
      </w:r>
      <w:r>
        <w:rPr>
          <w:rFonts w:ascii="Cambria Math" w:cs="Cambria Math" w:eastAsia="Cambria Math" w:hAnsi="Cambria Math"/>
          <w:i w:val="false"/>
          <w:iCs w:val="false"/>
          <w:sz w:val="24"/>
          <w:szCs w:val="24"/>
        </w:rPr>
        <w:t xml:space="preserve"> + Σ</w:t>
      </w:r>
      <w:r>
        <w:rPr>
          <w:rFonts w:ascii="Cambria Math" w:cs="Cambria Math" w:eastAsia="Cambria Math" w:hAnsi="Cambria Math"/>
          <w:i/>
          <w:iCs/>
          <w:sz w:val="18"/>
          <w:szCs w:val="18"/>
          <w:vertAlign w:val="subscript"/>
        </w:rPr>
        <w:t xml:space="preserve">j=0,...,q1</w:t>
      </w:r>
      <w:r>
        <w:rPr>
          <w:rFonts w:ascii="Cambria Math" w:cs="Cambria Math" w:eastAsia="Cambria Math" w:hAnsi="Cambria Math"/>
          <w:i w:val="false"/>
          <w:iCs w:val="false"/>
          <w:sz w:val="24"/>
          <w:szCs w:val="24"/>
        </w:rPr>
        <w:t xml:space="preserve"> β</w:t>
      </w:r>
      <w:r>
        <w:rPr>
          <w:rFonts w:ascii="Cambria Math" w:cs="Cambria Math" w:eastAsia="Cambria Math" w:hAnsi="Cambria Math"/>
          <w:i/>
          <w:iCs/>
          <w:sz w:val="18"/>
          <w:szCs w:val="18"/>
          <w:vertAlign w:val="subscript"/>
        </w:rPr>
        <w:t xml:space="preserve">1j</w:t>
      </w:r>
      <w:r>
        <w:rPr>
          <w:rFonts w:ascii="Cambria Math" w:cs="Cambria Math" w:eastAsia="Cambria Math" w:hAnsi="Cambria Math"/>
          <w:i/>
          <w:iCs/>
          <w:sz w:val="24"/>
          <w:szCs w:val="24"/>
        </w:rPr>
        <w:t xml:space="preserve">x</w:t>
      </w:r>
      <w:r>
        <w:rPr>
          <w:rFonts w:ascii="Cambria Math" w:cs="Cambria Math" w:eastAsia="Cambria Math" w:hAnsi="Cambria Math"/>
          <w:i/>
          <w:iCs/>
          <w:sz w:val="18"/>
          <w:szCs w:val="18"/>
          <w:vertAlign w:val="subscript"/>
        </w:rPr>
        <w:t xml:space="preserve">1,t−j</w:t>
      </w:r>
      <w:r>
        <w:rPr>
          <w:rFonts w:ascii="Cambria Math" w:cs="Cambria Math" w:eastAsia="Cambria Math" w:hAnsi="Cambria Math"/>
          <w:i w:val="false"/>
          <w:iCs w:val="false"/>
          <w:sz w:val="24"/>
          <w:szCs w:val="24"/>
        </w:rPr>
        <w:t xml:space="preserve"> + Σ</w:t>
      </w:r>
      <w:r>
        <w:rPr>
          <w:rFonts w:ascii="Cambria Math" w:cs="Cambria Math" w:eastAsia="Cambria Math" w:hAnsi="Cambria Math"/>
          <w:i/>
          <w:iCs/>
          <w:sz w:val="18"/>
          <w:szCs w:val="18"/>
          <w:vertAlign w:val="subscript"/>
        </w:rPr>
        <w:t xml:space="preserve">j=0,...,q2</w:t>
      </w:r>
      <w:r>
        <w:rPr>
          <w:rFonts w:ascii="Cambria Math" w:cs="Cambria Math" w:eastAsia="Cambria Math" w:hAnsi="Cambria Math"/>
          <w:i w:val="false"/>
          <w:iCs w:val="false"/>
          <w:sz w:val="24"/>
          <w:szCs w:val="24"/>
        </w:rPr>
        <w:t xml:space="preserve"> β</w:t>
      </w:r>
      <w:r>
        <w:rPr>
          <w:rFonts w:ascii="Cambria Math" w:cs="Cambria Math" w:eastAsia="Cambria Math" w:hAnsi="Cambria Math"/>
          <w:i/>
          <w:iCs/>
          <w:sz w:val="18"/>
          <w:szCs w:val="18"/>
          <w:vertAlign w:val="subscript"/>
        </w:rPr>
        <w:t xml:space="preserve">2j</w:t>
      </w:r>
      <w:r>
        <w:rPr>
          <w:rFonts w:ascii="Cambria Math" w:cs="Cambria Math" w:eastAsia="Cambria Math" w:hAnsi="Cambria Math"/>
          <w:i/>
          <w:iCs/>
          <w:sz w:val="24"/>
          <w:szCs w:val="24"/>
        </w:rPr>
        <w:t xml:space="preserve">x</w:t>
      </w:r>
      <w:r>
        <w:rPr>
          <w:rFonts w:ascii="Cambria Math" w:cs="Cambria Math" w:eastAsia="Cambria Math" w:hAnsi="Cambria Math"/>
          <w:i/>
          <w:iCs/>
          <w:sz w:val="18"/>
          <w:szCs w:val="18"/>
          <w:vertAlign w:val="subscript"/>
        </w:rPr>
        <w:t xml:space="preserve">2,t−j</w:t>
      </w:r>
      <w:r>
        <w:rPr>
          <w:rFonts w:ascii="Cambria Math" w:cs="Cambria Math" w:eastAsia="Cambria Math" w:hAnsi="Cambria Math"/>
          <w:i w:val="false"/>
          <w:iCs w:val="false"/>
          <w:sz w:val="24"/>
          <w:szCs w:val="24"/>
        </w:rPr>
        <w:t xml:space="preserve"> + γ</w:t>
      </w:r>
      <w:r>
        <w:rPr>
          <w:rFonts w:ascii="Cambria Math" w:cs="Cambria Math" w:eastAsia="Cambria Math" w:hAnsi="Cambria Math"/>
          <w:i/>
          <w:iCs/>
          <w:sz w:val="24"/>
          <w:szCs w:val="24"/>
        </w:rPr>
        <w:t xml:space="preserve">D</w:t>
      </w:r>
      <w:r>
        <w:rPr>
          <w:rFonts w:ascii="Cambria Math" w:cs="Cambria Math" w:eastAsia="Cambria Math" w:hAnsi="Cambria Math"/>
          <w:i/>
          <w:iCs/>
          <w:sz w:val="18"/>
          <w:szCs w:val="18"/>
          <w:vertAlign w:val="subscript"/>
        </w:rPr>
        <w:t xml:space="preserve">t</w:t>
      </w:r>
      <w:r>
        <w:rPr>
          <w:rFonts w:ascii="Cambria Math" w:cs="Cambria Math" w:eastAsia="Cambria Math" w:hAnsi="Cambria Math"/>
          <w:i w:val="false"/>
          <w:iCs w:val="false"/>
          <w:sz w:val="24"/>
          <w:szCs w:val="24"/>
        </w:rPr>
        <w:t xml:space="preserve"> + ε</w:t>
      </w:r>
      <w:r>
        <w:rPr>
          <w:rFonts w:ascii="Cambria Math" w:cs="Cambria Math" w:eastAsia="Cambria Math" w:hAnsi="Cambria Math"/>
          <w:i/>
          <w:iCs/>
          <w:sz w:val="18"/>
          <w:szCs w:val="18"/>
          <w:vertAlign w:val="subscript"/>
        </w:rPr>
        <w:t xml:space="preserve">t</w:t>
      </w:r>
      <w:r>
        <w:rPr>
          <w:rFonts w:ascii="Times New Roman" w:cs="Times New Roman" w:eastAsia="Times New Roman" w:hAnsi="Times New Roman"/>
          <w:i w:val="false"/>
          <w:iCs w:val="false"/>
          <w:sz w:val="22"/>
          <w:szCs w:val="22"/>
        </w:rPr>
        <w:t xml:space="preserve">   (5)</w:t>
      </w:r>
    </w:p>
    <w:p>
      <w:pPr>
        <w:spacing w:after="200" w:line="360"/>
        <w:jc w:val="both"/>
      </w:pPr>
      <w:r>
        <w:rPr>
          <w:rFonts w:ascii="Times New Roman" w:cs="Times New Roman" w:eastAsia="Times New Roman" w:hAnsi="Times New Roman"/>
          <w:sz w:val="24"/>
          <w:szCs w:val="24"/>
        </w:rPr>
        <w:t xml:space="preserve">where yₜ is CO2 emissions, x₁ is GDP, x₂ is energy use per capita, Dₜ is the post-2021 policy indicator, and p, q₁, q₂ are lag orders selected by minimum AIC subject to a maximum order of 2 for continuous regressors. The corresponding unrestricted error-correction (UECM) representation, on which the bounds test and long-run/short-run decomposition are based, is:</w:t>
      </w:r>
    </w:p>
    <w:p>
      <w:pPr>
        <w:spacing w:after="200" w:before="120"/>
        <w:jc w:val="center"/>
      </w:pPr>
      <w:r>
        <w:rPr>
          <w:rFonts w:ascii="Cambria Math" w:cs="Cambria Math" w:eastAsia="Cambria Math" w:hAnsi="Cambria Math"/>
          <w:i/>
          <w:iCs/>
          <w:sz w:val="24"/>
          <w:szCs w:val="24"/>
        </w:rPr>
        <w:t xml:space="preserve">Δy</w:t>
      </w:r>
      <w:r>
        <w:rPr>
          <w:rFonts w:ascii="Cambria Math" w:cs="Cambria Math" w:eastAsia="Cambria Math" w:hAnsi="Cambria Math"/>
          <w:i/>
          <w:iCs/>
          <w:sz w:val="18"/>
          <w:szCs w:val="18"/>
          <w:vertAlign w:val="subscript"/>
        </w:rPr>
        <w:t xml:space="preserve">t</w:t>
      </w:r>
      <w:r>
        <w:rPr>
          <w:rFonts w:ascii="Cambria Math" w:cs="Cambria Math" w:eastAsia="Cambria Math" w:hAnsi="Cambria Math"/>
          <w:i w:val="false"/>
          <w:iCs w:val="false"/>
          <w:sz w:val="24"/>
          <w:szCs w:val="24"/>
        </w:rPr>
        <w:t xml:space="preserve"> = α</w:t>
      </w:r>
      <w:r>
        <w:rPr>
          <w:rFonts w:ascii="Cambria Math" w:cs="Cambria Math" w:eastAsia="Cambria Math" w:hAnsi="Cambria Math"/>
          <w:i/>
          <w:iCs/>
          <w:sz w:val="18"/>
          <w:szCs w:val="18"/>
          <w:vertAlign w:val="subscript"/>
        </w:rPr>
        <w:t xml:space="preserve">0</w:t>
      </w:r>
      <w:r>
        <w:rPr>
          <w:rFonts w:ascii="Cambria Math" w:cs="Cambria Math" w:eastAsia="Cambria Math" w:hAnsi="Cambria Math"/>
          <w:i w:val="false"/>
          <w:iCs w:val="false"/>
          <w:sz w:val="24"/>
          <w:szCs w:val="24"/>
        </w:rPr>
        <w:t xml:space="preserve"> + ρy</w:t>
      </w:r>
      <w:r>
        <w:rPr>
          <w:rFonts w:ascii="Cambria Math" w:cs="Cambria Math" w:eastAsia="Cambria Math" w:hAnsi="Cambria Math"/>
          <w:i/>
          <w:iCs/>
          <w:sz w:val="18"/>
          <w:szCs w:val="18"/>
          <w:vertAlign w:val="subscript"/>
        </w:rPr>
        <w:t xml:space="preserve">t−1</w:t>
      </w:r>
      <w:r>
        <w:rPr>
          <w:rFonts w:ascii="Cambria Math" w:cs="Cambria Math" w:eastAsia="Cambria Math" w:hAnsi="Cambria Math"/>
          <w:i w:val="false"/>
          <w:iCs w:val="false"/>
          <w:sz w:val="24"/>
          <w:szCs w:val="24"/>
        </w:rPr>
        <w:t xml:space="preserve"> + θ</w:t>
      </w:r>
      <w:r>
        <w:rPr>
          <w:rFonts w:ascii="Cambria Math" w:cs="Cambria Math" w:eastAsia="Cambria Math" w:hAnsi="Cambria Math"/>
          <w:i/>
          <w:iCs/>
          <w:sz w:val="18"/>
          <w:szCs w:val="18"/>
          <w:vertAlign w:val="subscript"/>
        </w:rPr>
        <w:t xml:space="preserve">1</w:t>
      </w:r>
      <w:r>
        <w:rPr>
          <w:rFonts w:ascii="Cambria Math" w:cs="Cambria Math" w:eastAsia="Cambria Math" w:hAnsi="Cambria Math"/>
          <w:i/>
          <w:iCs/>
          <w:sz w:val="24"/>
          <w:szCs w:val="24"/>
        </w:rPr>
        <w:t xml:space="preserve">x</w:t>
      </w:r>
      <w:r>
        <w:rPr>
          <w:rFonts w:ascii="Cambria Math" w:cs="Cambria Math" w:eastAsia="Cambria Math" w:hAnsi="Cambria Math"/>
          <w:i/>
          <w:iCs/>
          <w:sz w:val="18"/>
          <w:szCs w:val="18"/>
          <w:vertAlign w:val="subscript"/>
        </w:rPr>
        <w:t xml:space="preserve">1,t−1</w:t>
      </w:r>
      <w:r>
        <w:rPr>
          <w:rFonts w:ascii="Cambria Math" w:cs="Cambria Math" w:eastAsia="Cambria Math" w:hAnsi="Cambria Math"/>
          <w:i w:val="false"/>
          <w:iCs w:val="false"/>
          <w:sz w:val="24"/>
          <w:szCs w:val="24"/>
        </w:rPr>
        <w:t xml:space="preserve"> + θ</w:t>
      </w:r>
      <w:r>
        <w:rPr>
          <w:rFonts w:ascii="Cambria Math" w:cs="Cambria Math" w:eastAsia="Cambria Math" w:hAnsi="Cambria Math"/>
          <w:i/>
          <w:iCs/>
          <w:sz w:val="18"/>
          <w:szCs w:val="18"/>
          <w:vertAlign w:val="subscript"/>
        </w:rPr>
        <w:t xml:space="preserve">2</w:t>
      </w:r>
      <w:r>
        <w:rPr>
          <w:rFonts w:ascii="Cambria Math" w:cs="Cambria Math" w:eastAsia="Cambria Math" w:hAnsi="Cambria Math"/>
          <w:i/>
          <w:iCs/>
          <w:sz w:val="24"/>
          <w:szCs w:val="24"/>
        </w:rPr>
        <w:t xml:space="preserve">x</w:t>
      </w:r>
      <w:r>
        <w:rPr>
          <w:rFonts w:ascii="Cambria Math" w:cs="Cambria Math" w:eastAsia="Cambria Math" w:hAnsi="Cambria Math"/>
          <w:i/>
          <w:iCs/>
          <w:sz w:val="18"/>
          <w:szCs w:val="18"/>
          <w:vertAlign w:val="subscript"/>
        </w:rPr>
        <w:t xml:space="preserve">2,t−1</w:t>
      </w:r>
      <w:r>
        <w:rPr>
          <w:rFonts w:ascii="Cambria Math" w:cs="Cambria Math" w:eastAsia="Cambria Math" w:hAnsi="Cambria Math"/>
          <w:i w:val="false"/>
          <w:iCs w:val="false"/>
          <w:sz w:val="24"/>
          <w:szCs w:val="24"/>
        </w:rPr>
        <w:t xml:space="preserve"> + Σ</w:t>
      </w:r>
      <w:r>
        <w:rPr>
          <w:rFonts w:ascii="Cambria Math" w:cs="Cambria Math" w:eastAsia="Cambria Math" w:hAnsi="Cambria Math"/>
          <w:i/>
          <w:iCs/>
          <w:sz w:val="18"/>
          <w:szCs w:val="18"/>
          <w:vertAlign w:val="subscript"/>
        </w:rPr>
        <w:t xml:space="preserve">i=1,...,p−1</w:t>
      </w:r>
      <w:r>
        <w:rPr>
          <w:rFonts w:ascii="Cambria Math" w:cs="Cambria Math" w:eastAsia="Cambria Math" w:hAnsi="Cambria Math"/>
          <w:i w:val="false"/>
          <w:iCs w:val="false"/>
          <w:sz w:val="24"/>
          <w:szCs w:val="24"/>
        </w:rPr>
        <w:t xml:space="preserve"> φ</w:t>
      </w:r>
      <w:r>
        <w:rPr>
          <w:rFonts w:ascii="Cambria Math" w:cs="Cambria Math" w:eastAsia="Cambria Math" w:hAnsi="Cambria Math"/>
          <w:i/>
          <w:iCs/>
          <w:sz w:val="18"/>
          <w:szCs w:val="18"/>
          <w:vertAlign w:val="superscript"/>
        </w:rPr>
        <w:t xml:space="preserve">*</w:t>
      </w:r>
      <w:r>
        <w:rPr>
          <w:rFonts w:ascii="Cambria Math" w:cs="Cambria Math" w:eastAsia="Cambria Math" w:hAnsi="Cambria Math"/>
          <w:i/>
          <w:iCs/>
          <w:sz w:val="18"/>
          <w:szCs w:val="18"/>
          <w:vertAlign w:val="subscript"/>
        </w:rPr>
        <w:t xml:space="preserve">i</w:t>
      </w:r>
      <w:r>
        <w:rPr>
          <w:rFonts w:ascii="Cambria Math" w:cs="Cambria Math" w:eastAsia="Cambria Math" w:hAnsi="Cambria Math"/>
          <w:i/>
          <w:iCs/>
          <w:sz w:val="24"/>
          <w:szCs w:val="24"/>
        </w:rPr>
        <w:t xml:space="preserve">Δy</w:t>
      </w:r>
      <w:r>
        <w:rPr>
          <w:rFonts w:ascii="Cambria Math" w:cs="Cambria Math" w:eastAsia="Cambria Math" w:hAnsi="Cambria Math"/>
          <w:i/>
          <w:iCs/>
          <w:sz w:val="18"/>
          <w:szCs w:val="18"/>
          <w:vertAlign w:val="subscript"/>
        </w:rPr>
        <w:t xml:space="preserve">t−i</w:t>
      </w:r>
      <w:r>
        <w:rPr>
          <w:rFonts w:ascii="Cambria Math" w:cs="Cambria Math" w:eastAsia="Cambria Math" w:hAnsi="Cambria Math"/>
          <w:i w:val="false"/>
          <w:iCs w:val="false"/>
          <w:sz w:val="24"/>
          <w:szCs w:val="24"/>
        </w:rPr>
        <w:t xml:space="preserve"> + Σ</w:t>
      </w:r>
      <w:r>
        <w:rPr>
          <w:rFonts w:ascii="Cambria Math" w:cs="Cambria Math" w:eastAsia="Cambria Math" w:hAnsi="Cambria Math"/>
          <w:i/>
          <w:iCs/>
          <w:sz w:val="18"/>
          <w:szCs w:val="18"/>
          <w:vertAlign w:val="subscript"/>
        </w:rPr>
        <w:t xml:space="preserve">j=0,...,q1−1</w:t>
      </w:r>
      <w:r>
        <w:rPr>
          <w:rFonts w:ascii="Cambria Math" w:cs="Cambria Math" w:eastAsia="Cambria Math" w:hAnsi="Cambria Math"/>
          <w:i w:val="false"/>
          <w:iCs w:val="false"/>
          <w:sz w:val="24"/>
          <w:szCs w:val="24"/>
        </w:rPr>
        <w:t xml:space="preserve"> β</w:t>
      </w:r>
      <w:r>
        <w:rPr>
          <w:rFonts w:ascii="Cambria Math" w:cs="Cambria Math" w:eastAsia="Cambria Math" w:hAnsi="Cambria Math"/>
          <w:i/>
          <w:iCs/>
          <w:sz w:val="18"/>
          <w:szCs w:val="18"/>
          <w:vertAlign w:val="superscript"/>
        </w:rPr>
        <w:t xml:space="preserve">*</w:t>
      </w:r>
      <w:r>
        <w:rPr>
          <w:rFonts w:ascii="Cambria Math" w:cs="Cambria Math" w:eastAsia="Cambria Math" w:hAnsi="Cambria Math"/>
          <w:i/>
          <w:iCs/>
          <w:sz w:val="18"/>
          <w:szCs w:val="18"/>
          <w:vertAlign w:val="subscript"/>
        </w:rPr>
        <w:t xml:space="preserve">1j</w:t>
      </w:r>
      <w:r>
        <w:rPr>
          <w:rFonts w:ascii="Cambria Math" w:cs="Cambria Math" w:eastAsia="Cambria Math" w:hAnsi="Cambria Math"/>
          <w:i/>
          <w:iCs/>
          <w:sz w:val="24"/>
          <w:szCs w:val="24"/>
        </w:rPr>
        <w:t xml:space="preserve">Δx</w:t>
      </w:r>
      <w:r>
        <w:rPr>
          <w:rFonts w:ascii="Cambria Math" w:cs="Cambria Math" w:eastAsia="Cambria Math" w:hAnsi="Cambria Math"/>
          <w:i/>
          <w:iCs/>
          <w:sz w:val="18"/>
          <w:szCs w:val="18"/>
          <w:vertAlign w:val="subscript"/>
        </w:rPr>
        <w:t xml:space="preserve">1,t−j</w:t>
      </w:r>
      <w:r>
        <w:rPr>
          <w:rFonts w:ascii="Cambria Math" w:cs="Cambria Math" w:eastAsia="Cambria Math" w:hAnsi="Cambria Math"/>
          <w:i w:val="false"/>
          <w:iCs w:val="false"/>
          <w:sz w:val="24"/>
          <w:szCs w:val="24"/>
        </w:rPr>
        <w:t xml:space="preserve"> + Σ</w:t>
      </w:r>
      <w:r>
        <w:rPr>
          <w:rFonts w:ascii="Cambria Math" w:cs="Cambria Math" w:eastAsia="Cambria Math" w:hAnsi="Cambria Math"/>
          <w:i/>
          <w:iCs/>
          <w:sz w:val="18"/>
          <w:szCs w:val="18"/>
          <w:vertAlign w:val="subscript"/>
        </w:rPr>
        <w:t xml:space="preserve">j=0,...,q2−1</w:t>
      </w:r>
      <w:r>
        <w:rPr>
          <w:rFonts w:ascii="Cambria Math" w:cs="Cambria Math" w:eastAsia="Cambria Math" w:hAnsi="Cambria Math"/>
          <w:i w:val="false"/>
          <w:iCs w:val="false"/>
          <w:sz w:val="24"/>
          <w:szCs w:val="24"/>
        </w:rPr>
        <w:t xml:space="preserve"> β</w:t>
      </w:r>
      <w:r>
        <w:rPr>
          <w:rFonts w:ascii="Cambria Math" w:cs="Cambria Math" w:eastAsia="Cambria Math" w:hAnsi="Cambria Math"/>
          <w:i/>
          <w:iCs/>
          <w:sz w:val="18"/>
          <w:szCs w:val="18"/>
          <w:vertAlign w:val="superscript"/>
        </w:rPr>
        <w:t xml:space="preserve">*</w:t>
      </w:r>
      <w:r>
        <w:rPr>
          <w:rFonts w:ascii="Cambria Math" w:cs="Cambria Math" w:eastAsia="Cambria Math" w:hAnsi="Cambria Math"/>
          <w:i/>
          <w:iCs/>
          <w:sz w:val="18"/>
          <w:szCs w:val="18"/>
          <w:vertAlign w:val="subscript"/>
        </w:rPr>
        <w:t xml:space="preserve">2j</w:t>
      </w:r>
      <w:r>
        <w:rPr>
          <w:rFonts w:ascii="Cambria Math" w:cs="Cambria Math" w:eastAsia="Cambria Math" w:hAnsi="Cambria Math"/>
          <w:i/>
          <w:iCs/>
          <w:sz w:val="24"/>
          <w:szCs w:val="24"/>
        </w:rPr>
        <w:t xml:space="preserve">Δx</w:t>
      </w:r>
      <w:r>
        <w:rPr>
          <w:rFonts w:ascii="Cambria Math" w:cs="Cambria Math" w:eastAsia="Cambria Math" w:hAnsi="Cambria Math"/>
          <w:i/>
          <w:iCs/>
          <w:sz w:val="18"/>
          <w:szCs w:val="18"/>
          <w:vertAlign w:val="subscript"/>
        </w:rPr>
        <w:t xml:space="preserve">2,t−j</w:t>
      </w:r>
      <w:r>
        <w:rPr>
          <w:rFonts w:ascii="Cambria Math" w:cs="Cambria Math" w:eastAsia="Cambria Math" w:hAnsi="Cambria Math"/>
          <w:i w:val="false"/>
          <w:iCs w:val="false"/>
          <w:sz w:val="24"/>
          <w:szCs w:val="24"/>
        </w:rPr>
        <w:t xml:space="preserve"> + γ</w:t>
      </w:r>
      <w:r>
        <w:rPr>
          <w:rFonts w:ascii="Cambria Math" w:cs="Cambria Math" w:eastAsia="Cambria Math" w:hAnsi="Cambria Math"/>
          <w:i/>
          <w:iCs/>
          <w:sz w:val="24"/>
          <w:szCs w:val="24"/>
        </w:rPr>
        <w:t xml:space="preserve">D</w:t>
      </w:r>
      <w:r>
        <w:rPr>
          <w:rFonts w:ascii="Cambria Math" w:cs="Cambria Math" w:eastAsia="Cambria Math" w:hAnsi="Cambria Math"/>
          <w:i/>
          <w:iCs/>
          <w:sz w:val="18"/>
          <w:szCs w:val="18"/>
          <w:vertAlign w:val="subscript"/>
        </w:rPr>
        <w:t xml:space="preserve">t</w:t>
      </w:r>
      <w:r>
        <w:rPr>
          <w:rFonts w:ascii="Cambria Math" w:cs="Cambria Math" w:eastAsia="Cambria Math" w:hAnsi="Cambria Math"/>
          <w:i w:val="false"/>
          <w:iCs w:val="false"/>
          <w:sz w:val="24"/>
          <w:szCs w:val="24"/>
        </w:rPr>
        <w:t xml:space="preserve"> + ε</w:t>
      </w:r>
      <w:r>
        <w:rPr>
          <w:rFonts w:ascii="Cambria Math" w:cs="Cambria Math" w:eastAsia="Cambria Math" w:hAnsi="Cambria Math"/>
          <w:i/>
          <w:iCs/>
          <w:sz w:val="18"/>
          <w:szCs w:val="18"/>
          <w:vertAlign w:val="subscript"/>
        </w:rPr>
        <w:t xml:space="preserve">t</w:t>
      </w:r>
      <w:r>
        <w:rPr>
          <w:rFonts w:ascii="Times New Roman" w:cs="Times New Roman" w:eastAsia="Times New Roman" w:hAnsi="Times New Roman"/>
          <w:i w:val="false"/>
          <w:iCs w:val="false"/>
          <w:sz w:val="22"/>
          <w:szCs w:val="22"/>
        </w:rPr>
        <w:t xml:space="preserve">   (6)</w:t>
      </w:r>
    </w:p>
    <w:p>
      <w:pPr>
        <w:spacing w:after="200" w:line="360"/>
        <w:jc w:val="both"/>
      </w:pPr>
      <w:r>
        <w:rPr>
          <w:rFonts w:ascii="Times New Roman" w:cs="Times New Roman" w:eastAsia="Times New Roman" w:hAnsi="Times New Roman"/>
          <w:sz w:val="24"/>
          <w:szCs w:val="24"/>
        </w:rPr>
        <w:t xml:space="preserve">where Δ is the first-difference operator and ρ (the coefficient on yₜ₋₁) is the error-correction term reported in Table 5: a negative, statistically significant ρ with |ρ| &lt; 1 indicates that deviations from the long-run equilibrium correct at rate |ρ| per period. The corresponding long-run multipliers are θ₁⁄(−ρ) for GDP and θ₂⁄(−ρ) for energy per capita (Table in Section 4.3). The Pesaran et al. (2001) bounds F-test evaluates the joint null hypothesis of no long-run relationship:</w:t>
      </w:r>
    </w:p>
    <w:p>
      <w:pPr>
        <w:spacing w:after="200" w:before="120"/>
        <w:jc w:val="center"/>
      </w:pPr>
      <w:r>
        <w:rPr>
          <w:rFonts w:ascii="Cambria Math" w:cs="Cambria Math" w:eastAsia="Cambria Math" w:hAnsi="Cambria Math"/>
          <w:i w:val="false"/>
          <w:iCs w:val="false"/>
          <w:sz w:val="24"/>
          <w:szCs w:val="24"/>
        </w:rPr>
        <w:t xml:space="preserve">H</w:t>
      </w:r>
      <w:r>
        <w:rPr>
          <w:rFonts w:ascii="Cambria Math" w:cs="Cambria Math" w:eastAsia="Cambria Math" w:hAnsi="Cambria Math"/>
          <w:i/>
          <w:iCs/>
          <w:sz w:val="18"/>
          <w:szCs w:val="18"/>
          <w:vertAlign w:val="subscript"/>
        </w:rPr>
        <w:t xml:space="preserve">0</w:t>
      </w:r>
      <w:r>
        <w:rPr>
          <w:rFonts w:ascii="Cambria Math" w:cs="Cambria Math" w:eastAsia="Cambria Math" w:hAnsi="Cambria Math"/>
          <w:i w:val="false"/>
          <w:iCs w:val="false"/>
          <w:sz w:val="24"/>
          <w:szCs w:val="24"/>
        </w:rPr>
        <w:t xml:space="preserve">: ρ = θ</w:t>
      </w:r>
      <w:r>
        <w:rPr>
          <w:rFonts w:ascii="Cambria Math" w:cs="Cambria Math" w:eastAsia="Cambria Math" w:hAnsi="Cambria Math"/>
          <w:i/>
          <w:iCs/>
          <w:sz w:val="18"/>
          <w:szCs w:val="18"/>
          <w:vertAlign w:val="subscript"/>
        </w:rPr>
        <w:t xml:space="preserve">1</w:t>
      </w:r>
      <w:r>
        <w:rPr>
          <w:rFonts w:ascii="Cambria Math" w:cs="Cambria Math" w:eastAsia="Cambria Math" w:hAnsi="Cambria Math"/>
          <w:i w:val="false"/>
          <w:iCs w:val="false"/>
          <w:sz w:val="24"/>
          <w:szCs w:val="24"/>
        </w:rPr>
        <w:t xml:space="preserve"> = θ</w:t>
      </w:r>
      <w:r>
        <w:rPr>
          <w:rFonts w:ascii="Cambria Math" w:cs="Cambria Math" w:eastAsia="Cambria Math" w:hAnsi="Cambria Math"/>
          <w:i/>
          <w:iCs/>
          <w:sz w:val="18"/>
          <w:szCs w:val="18"/>
          <w:vertAlign w:val="subscript"/>
        </w:rPr>
        <w:t xml:space="preserve">2</w:t>
      </w:r>
      <w:r>
        <w:rPr>
          <w:rFonts w:ascii="Cambria Math" w:cs="Cambria Math" w:eastAsia="Cambria Math" w:hAnsi="Cambria Math"/>
          <w:i w:val="false"/>
          <w:iCs w:val="false"/>
          <w:sz w:val="24"/>
          <w:szCs w:val="24"/>
        </w:rPr>
        <w:t xml:space="preserve"> = 0     vs.     H</w:t>
      </w:r>
      <w:r>
        <w:rPr>
          <w:rFonts w:ascii="Cambria Math" w:cs="Cambria Math" w:eastAsia="Cambria Math" w:hAnsi="Cambria Math"/>
          <w:i/>
          <w:iCs/>
          <w:sz w:val="18"/>
          <w:szCs w:val="18"/>
          <w:vertAlign w:val="subscript"/>
        </w:rPr>
        <w:t xml:space="preserve">1</w:t>
      </w:r>
      <w:r>
        <w:rPr>
          <w:rFonts w:ascii="Cambria Math" w:cs="Cambria Math" w:eastAsia="Cambria Math" w:hAnsi="Cambria Math"/>
          <w:i w:val="false"/>
          <w:iCs w:val="false"/>
          <w:sz w:val="24"/>
          <w:szCs w:val="24"/>
        </w:rPr>
        <w:t xml:space="preserve">: ρ ≠ 0 or θ</w:t>
      </w:r>
      <w:r>
        <w:rPr>
          <w:rFonts w:ascii="Cambria Math" w:cs="Cambria Math" w:eastAsia="Cambria Math" w:hAnsi="Cambria Math"/>
          <w:i/>
          <w:iCs/>
          <w:sz w:val="18"/>
          <w:szCs w:val="18"/>
          <w:vertAlign w:val="subscript"/>
        </w:rPr>
        <w:t xml:space="preserve">1</w:t>
      </w:r>
      <w:r>
        <w:rPr>
          <w:rFonts w:ascii="Cambria Math" w:cs="Cambria Math" w:eastAsia="Cambria Math" w:hAnsi="Cambria Math"/>
          <w:i w:val="false"/>
          <w:iCs w:val="false"/>
          <w:sz w:val="24"/>
          <w:szCs w:val="24"/>
        </w:rPr>
        <w:t xml:space="preserve"> ≠ 0 or θ</w:t>
      </w:r>
      <w:r>
        <w:rPr>
          <w:rFonts w:ascii="Cambria Math" w:cs="Cambria Math" w:eastAsia="Cambria Math" w:hAnsi="Cambria Math"/>
          <w:i/>
          <w:iCs/>
          <w:sz w:val="18"/>
          <w:szCs w:val="18"/>
          <w:vertAlign w:val="subscript"/>
        </w:rPr>
        <w:t xml:space="preserve">2</w:t>
      </w:r>
      <w:r>
        <w:rPr>
          <w:rFonts w:ascii="Cambria Math" w:cs="Cambria Math" w:eastAsia="Cambria Math" w:hAnsi="Cambria Math"/>
          <w:i w:val="false"/>
          <w:iCs w:val="false"/>
          <w:sz w:val="24"/>
          <w:szCs w:val="24"/>
        </w:rPr>
        <w:t xml:space="preserve"> ≠ 0</w:t>
      </w:r>
      <w:r>
        <w:rPr>
          <w:rFonts w:ascii="Times New Roman" w:cs="Times New Roman" w:eastAsia="Times New Roman" w:hAnsi="Times New Roman"/>
          <w:i w:val="false"/>
          <w:iCs w:val="false"/>
          <w:sz w:val="22"/>
          <w:szCs w:val="22"/>
        </w:rPr>
        <w:t xml:space="preserve">   (7)</w:t>
      </w:r>
    </w:p>
    <w:p>
      <w:pPr>
        <w:spacing w:after="200" w:line="360"/>
        <w:jc w:val="both"/>
      </w:pPr>
      <w:r>
        <w:rPr>
          <w:rFonts w:ascii="Times New Roman" w:cs="Times New Roman" w:eastAsia="Times New Roman" w:hAnsi="Times New Roman"/>
          <w:sz w:val="24"/>
          <w:szCs w:val="24"/>
        </w:rPr>
        <w:t xml:space="preserve">comparing the resulting F-statistic against Pesaran et al.'s (2001) upper and lower critical value bounds. As reported in Section 4.3, this test could not be computed for the present sample due to numerical singularity in the test's restriction-covariance matrix, a documented small-sample limitation discussed further in Section 5; the error-correction coefficient ρ in Equation 6 is reported in its place as evidence of cointegration.</w:t>
      </w:r>
    </w:p>
    <w:p>
      <w:pPr>
        <w:spacing w:after="200" w:line="360"/>
        <w:jc w:val="both"/>
      </w:pPr>
      <w:r>
        <w:rPr>
          <w:rFonts w:ascii="Times New Roman" w:cs="Times New Roman" w:eastAsia="Times New Roman" w:hAnsi="Times New Roman"/>
          <w:sz w:val="24"/>
          <w:szCs w:val="24"/>
        </w:rPr>
        <w:t xml:space="preserve">Unit root tests (ADF, KPSS) confirmed all series behave as integrated of order one, I(1), ruling out the I(2) case that would invalidate bounds testing regardless of sample size. GDP was sourced separately from the CO2/energy series (1986-2024 annual, current US$) given that the latter source's own GDP series lacked sufficient post-2021 coverage to identify a policy effect.</w:t>
      </w:r>
    </w:p>
    <w:p>
      <w:pPr>
        <w:pStyle w:val="Heading1"/>
        <w:spacing w:after="160" w:before="320"/>
      </w:pPr>
      <w:r>
        <w:rPr>
          <w:rFonts w:ascii="Times New Roman" w:cs="Times New Roman" w:eastAsia="Times New Roman" w:hAnsi="Times New Roman"/>
          <w:b/>
          <w:bCs/>
          <w:sz w:val="26"/>
          <w:szCs w:val="26"/>
        </w:rPr>
        <w:t xml:space="preserve">4. Results</w:t>
      </w:r>
    </w:p>
    <w:p>
      <w:pPr>
        <w:pStyle w:val="Heading2"/>
        <w:spacing w:after="120" w:before="240"/>
      </w:pPr>
      <w:r>
        <w:rPr>
          <w:rFonts w:ascii="Times New Roman" w:cs="Times New Roman" w:eastAsia="Times New Roman" w:hAnsi="Times New Roman"/>
          <w:b/>
          <w:bCs/>
          <w:i/>
          <w:iCs/>
          <w:sz w:val="24"/>
          <w:szCs w:val="24"/>
        </w:rPr>
        <w:t xml:space="preserve">4.1 RQ1: Spatial clustering of onshore flaring</w:t>
      </w:r>
    </w:p>
    <w:p>
      <w:pPr>
        <w:spacing w:after="10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 Average onshore gas flaring intensity by state, 2012-2024.</w:t>
      </w:r>
    </w:p>
    <w:p>
      <w:pPr>
        <w:spacing w:after="200" w:line="360"/>
        <w:jc w:val="both"/>
      </w:pPr>
      <w:r>
        <w:rPr>
          <w:rFonts w:ascii="Times New Roman" w:cs="Times New Roman" w:eastAsia="Times New Roman" w:hAnsi="Times New Roman"/>
          <w:sz w:val="24"/>
          <w:szCs w:val="24"/>
        </w:rPr>
        <w:t xml:space="preserve">Global Moran's I was positive and highly statistically significant in every year from 2012 to 2024 (Table 2), confirming persistent spatial clustering of onshore flaring intensity across Nigerian states throughout the study period. The statistic declined from approximately 0.59 in 2012-2014 to approximately 0.37-0.45 from 2018 onward, suggesting flaring became somewhat less spatially concentrated over time - plausibly consistent with the national decline in total flaring volume observed over the same period.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0"/>
        <w:gridCol w:w="3505"/>
        <w:gridCol w:w="3505"/>
      </w:tblGrid>
      <w:tr>
        <w:trPr>
          <w:tblHeader/>
        </w:trPr>
        <w:tc>
          <w:tcPr>
            <w:tcW w:type="dxa" w:w="2340"/>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Year</w:t>
            </w:r>
          </w:p>
        </w:tc>
        <w:tc>
          <w:tcPr>
            <w:tcW w:type="dxa" w:w="3505"/>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Moran's I</w:t>
            </w:r>
          </w:p>
        </w:tc>
        <w:tc>
          <w:tcPr>
            <w:tcW w:type="dxa" w:w="3505"/>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p-value</w:t>
            </w:r>
          </w:p>
        </w:tc>
      </w:tr>
      <w:tr>
        <w:tc>
          <w:tcPr>
            <w:tcW w:type="dxa" w:w="234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2012</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0.593</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2.4e-11</w:t>
            </w:r>
          </w:p>
        </w:tc>
      </w:tr>
      <w:tr>
        <w:tc>
          <w:tcPr>
            <w:tcW w:type="dxa" w:w="234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2013</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0.569</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4.1e-11</w:t>
            </w:r>
          </w:p>
        </w:tc>
      </w:tr>
      <w:tr>
        <w:tc>
          <w:tcPr>
            <w:tcW w:type="dxa" w:w="234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2014</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0.587</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2.4e-11</w:t>
            </w:r>
          </w:p>
        </w:tc>
      </w:tr>
      <w:tr>
        <w:tc>
          <w:tcPr>
            <w:tcW w:type="dxa" w:w="234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2015</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0.531</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2.8e-10</w:t>
            </w:r>
          </w:p>
        </w:tc>
      </w:tr>
      <w:tr>
        <w:tc>
          <w:tcPr>
            <w:tcW w:type="dxa" w:w="234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2016</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0.569</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6.7e-11</w:t>
            </w:r>
          </w:p>
        </w:tc>
      </w:tr>
      <w:tr>
        <w:tc>
          <w:tcPr>
            <w:tcW w:type="dxa" w:w="234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2017</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0.531</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2.6e-10</w:t>
            </w:r>
          </w:p>
        </w:tc>
      </w:tr>
      <w:tr>
        <w:tc>
          <w:tcPr>
            <w:tcW w:type="dxa" w:w="234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2018</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0.437</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3.0e-9</w:t>
            </w:r>
          </w:p>
        </w:tc>
      </w:tr>
      <w:tr>
        <w:tc>
          <w:tcPr>
            <w:tcW w:type="dxa" w:w="234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2019</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0.431</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3.2e-9</w:t>
            </w:r>
          </w:p>
        </w:tc>
      </w:tr>
      <w:tr>
        <w:tc>
          <w:tcPr>
            <w:tcW w:type="dxa" w:w="234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2020</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0.453</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2.6e-9</w:t>
            </w:r>
          </w:p>
        </w:tc>
      </w:tr>
      <w:tr>
        <w:tc>
          <w:tcPr>
            <w:tcW w:type="dxa" w:w="234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2021</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0.461</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4.5e-9</w:t>
            </w:r>
          </w:p>
        </w:tc>
      </w:tr>
      <w:tr>
        <w:tc>
          <w:tcPr>
            <w:tcW w:type="dxa" w:w="234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2022</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0.385</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1.2e-7</w:t>
            </w:r>
          </w:p>
        </w:tc>
      </w:tr>
      <w:tr>
        <w:tc>
          <w:tcPr>
            <w:tcW w:type="dxa" w:w="234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2023</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0.374</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9.9e-8</w:t>
            </w:r>
          </w:p>
        </w:tc>
      </w:tr>
      <w:tr>
        <w:tc>
          <w:tcPr>
            <w:tcW w:type="dxa" w:w="234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2024</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0.450</w:t>
            </w:r>
          </w:p>
        </w:tc>
        <w:tc>
          <w:tcPr>
            <w:tcW w:type="dxa" w:w="3505"/>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2.7e-8</w:t>
            </w:r>
          </w:p>
        </w:tc>
      </w:tr>
    </w:tbl>
    <w:p>
      <w:pPr>
        <w:spacing w:after="200" w:line="360"/>
        <w:jc w:val="both"/>
      </w:pPr>
      <w:r>
        <w:rPr>
          <w:rFonts w:ascii="Times New Roman" w:cs="Times New Roman" w:eastAsia="Times New Roman" w:hAnsi="Times New Roman"/>
          <w:sz w:val="24"/>
          <w:szCs w:val="24"/>
        </w:rPr>
        <w:t xml:space="preserve"> </w:t>
      </w:r>
    </w:p>
    <w:p>
      <w:pPr>
        <w:spacing w:after="100" w:before="20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0005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2. Local Indicators of Spatial Association (LISA) cluster map, onshore flaring intensity.</w:t>
      </w:r>
    </w:p>
    <w:p>
      <w:pPr>
        <w:spacing w:after="200" w:line="360"/>
        <w:jc w:val="both"/>
      </w:pPr>
      <w:r>
        <w:rPr>
          <w:rFonts w:ascii="Times New Roman" w:cs="Times New Roman" w:eastAsia="Times New Roman" w:hAnsi="Times New Roman"/>
          <w:sz w:val="24"/>
          <w:szCs w:val="24"/>
        </w:rPr>
        <w:t xml:space="preserve">Local indicators of spatial association (Table 3, Figure 2) identify Delta, Rivers, and Bayelsa as a statistically significant High-High cluster (p &lt; 0.01 in each case) - high-flaring states surrounded by other high-flaring states. Edo (p = 0.061) and Imo (p = 0.147) show elevated but not statistically significant local clustering. Anambra emerges as a significant Low-High spatial outlier (local I = -0.341, p = 0.002): a comparatively low-flaring state situated within the broader high-flaring Niger Delta region.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State</w:t>
            </w:r>
          </w:p>
        </w:tc>
        <w:tc>
          <w:tcPr>
            <w:tcW w:type="dxa" w:w="1870"/>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Avg. flaring
(million m3)</w:t>
            </w:r>
          </w:p>
        </w:tc>
        <w:tc>
          <w:tcPr>
            <w:tcW w:type="dxa" w:w="1870"/>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Local I</w:t>
            </w:r>
          </w:p>
        </w:tc>
        <w:tc>
          <w:tcPr>
            <w:tcW w:type="dxa" w:w="1870"/>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p-value</w:t>
            </w:r>
          </w:p>
        </w:tc>
        <w:tc>
          <w:tcPr>
            <w:tcW w:type="dxa" w:w="1870"/>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LISA cluster</w:t>
            </w:r>
          </w:p>
        </w:tc>
      </w:tr>
      <w:tr>
        <w:tc>
          <w:tcPr>
            <w:tcW w:type="dxa" w:w="187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Delta</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1548.2</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4.607</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&lt;0.001</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High-High</w:t>
            </w:r>
          </w:p>
        </w:tc>
      </w:tr>
      <w:tr>
        <w:tc>
          <w:tcPr>
            <w:tcW w:type="dxa" w:w="187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Rivers</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1091.7</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3.142</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0.001</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High-High</w:t>
            </w:r>
          </w:p>
        </w:tc>
      </w:tr>
      <w:tr>
        <w:tc>
          <w:tcPr>
            <w:tcW w:type="dxa" w:w="187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Bayelsa</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759.9</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7.426</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&lt;0.001</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High-High</w:t>
            </w:r>
          </w:p>
        </w:tc>
      </w:tr>
      <w:tr>
        <w:tc>
          <w:tcPr>
            <w:tcW w:type="dxa" w:w="187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Edo</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355.1</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0.657</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0.061</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Not significant</w:t>
            </w:r>
          </w:p>
        </w:tc>
      </w:tr>
      <w:tr>
        <w:tc>
          <w:tcPr>
            <w:tcW w:type="dxa" w:w="187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Imo</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222.2</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0.273</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0.147</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Not significant</w:t>
            </w:r>
          </w:p>
        </w:tc>
      </w:tr>
      <w:tr>
        <w:tc>
          <w:tcPr>
            <w:tcW w:type="dxa" w:w="187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Akwa Ibom</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135.4</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0.055</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0.158</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Not significant</w:t>
            </w:r>
          </w:p>
        </w:tc>
      </w:tr>
      <w:tr>
        <w:tc>
          <w:tcPr>
            <w:tcW w:type="dxa" w:w="187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Anambra</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10.9</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-0.341</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0.002</w:t>
            </w:r>
          </w:p>
        </w:tc>
        <w:tc>
          <w:tcPr>
            <w:tcW w:type="dxa" w:w="187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Low-High</w:t>
            </w:r>
          </w:p>
        </w:tc>
      </w:tr>
    </w:tbl>
    <w:p>
      <w:pPr>
        <w:spacing w:after="200" w:line="360"/>
        <w:jc w:val="both"/>
      </w:pPr>
      <w:r>
        <w:rPr>
          <w:rFonts w:ascii="Times New Roman" w:cs="Times New Roman" w:eastAsia="Times New Roman" w:hAnsi="Times New Roman"/>
          <w:sz w:val="24"/>
          <w:szCs w:val="24"/>
        </w:rPr>
        <w:t xml:space="preserve"> </w:t>
      </w:r>
    </w:p>
    <w:p>
      <w:pPr>
        <w:pStyle w:val="Heading2"/>
        <w:spacing w:after="120" w:before="240"/>
      </w:pPr>
      <w:r>
        <w:rPr>
          <w:rFonts w:ascii="Times New Roman" w:cs="Times New Roman" w:eastAsia="Times New Roman" w:hAnsi="Times New Roman"/>
          <w:b/>
          <w:bCs/>
          <w:i/>
          <w:iCs/>
          <w:sz w:val="24"/>
          <w:szCs w:val="24"/>
        </w:rPr>
        <w:t xml:space="preserve">4.2 RQ2: Predictors of flaring intensity</w:t>
      </w:r>
    </w:p>
    <w:p>
      <w:pPr>
        <w:spacing w:after="200" w:line="360"/>
        <w:jc w:val="both"/>
      </w:pPr>
      <w:r>
        <w:rPr>
          <w:rFonts w:ascii="Times New Roman" w:cs="Times New Roman" w:eastAsia="Times New Roman" w:hAnsi="Times New Roman"/>
          <w:sz w:val="24"/>
          <w:szCs w:val="24"/>
        </w:rPr>
        <w:t xml:space="preserve">Onshore flare-site density is an overwhelmingly strong and statistically significant predictor of state-level flaring intensity across all three specifications (OLS, spatial lag, spatial error; coefficient range 37.4-39.0, p &lt; 0.001 in each case; Table 4). Electricity access is not a statistically significant predictor in any specification (p = 0.44-0.83). Notably, once site density is included, the spatial autocorrelation coefficient (Rho in the lag model) falls to -0.068 (still significant, p = 0.016, but two orders of magnitude smaller than the unconditional Moran's I of approximately 0.51 reported for RQ1) - indicating that flare-site density accounts for the great majority of the spatial clustering identified in RQ1. Substantively, this indicates that flaring clusters spatially because oil and gas production infrastructure is itself spatially clustered in the Niger Delta, rather than because of differences in general socioeconomic development or electrification across states.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0"/>
        <w:gridCol w:w="2337"/>
        <w:gridCol w:w="2337"/>
        <w:gridCol w:w="2336"/>
      </w:tblGrid>
      <w:tr>
        <w:trPr>
          <w:tblHeader/>
        </w:trPr>
        <w:tc>
          <w:tcPr>
            <w:tcW w:type="dxa" w:w="2340"/>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Variable</w:t>
            </w:r>
          </w:p>
        </w:tc>
        <w:tc>
          <w:tcPr>
            <w:tcW w:type="dxa" w:w="2337"/>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OLS</w:t>
            </w:r>
          </w:p>
        </w:tc>
        <w:tc>
          <w:tcPr>
            <w:tcW w:type="dxa" w:w="2337"/>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Spatial lag</w:t>
            </w:r>
          </w:p>
        </w:tc>
        <w:tc>
          <w:tcPr>
            <w:tcW w:type="dxa" w:w="2336"/>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Spatial error</w:t>
            </w:r>
          </w:p>
        </w:tc>
      </w:tr>
      <w:tr>
        <w:tc>
          <w:tcPr>
            <w:tcW w:type="dxa" w:w="234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Intercept</w:t>
            </w:r>
          </w:p>
        </w:tc>
        <w:tc>
          <w:tcPr>
            <w:tcW w:type="dxa" w:w="233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-5.06 (0.75)</w:t>
            </w:r>
          </w:p>
        </w:tc>
        <w:tc>
          <w:tcPr>
            <w:tcW w:type="dxa" w:w="233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-5.26 (0.71)</w:t>
            </w:r>
          </w:p>
        </w:tc>
        <w:tc>
          <w:tcPr>
            <w:tcW w:type="dxa" w:w="2336"/>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-0.80 (0.95)</w:t>
            </w:r>
          </w:p>
        </w:tc>
      </w:tr>
      <w:tr>
        <w:tc>
          <w:tcPr>
            <w:tcW w:type="dxa" w:w="234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Electricity access (%)</w:t>
            </w:r>
          </w:p>
        </w:tc>
        <w:tc>
          <w:tcPr>
            <w:tcW w:type="dxa" w:w="233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0.109 (0.71)</w:t>
            </w:r>
          </w:p>
        </w:tc>
        <w:tc>
          <w:tcPr>
            <w:tcW w:type="dxa" w:w="233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0.201 (0.44)</w:t>
            </w:r>
          </w:p>
        </w:tc>
        <w:tc>
          <w:tcPr>
            <w:tcW w:type="dxa" w:w="2336"/>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0.047 (0.83)</w:t>
            </w:r>
          </w:p>
        </w:tc>
      </w:tr>
      <w:tr>
        <w:tc>
          <w:tcPr>
            <w:tcW w:type="dxa" w:w="234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Onshore site density</w:t>
            </w:r>
          </w:p>
        </w:tc>
        <w:tc>
          <w:tcPr>
            <w:tcW w:type="dxa" w:w="233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37.51*** (&lt;0.001)</w:t>
            </w:r>
          </w:p>
        </w:tc>
        <w:tc>
          <w:tcPr>
            <w:tcW w:type="dxa" w:w="233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38.98*** (&lt;0.001)</w:t>
            </w:r>
          </w:p>
        </w:tc>
        <w:tc>
          <w:tcPr>
            <w:tcW w:type="dxa" w:w="2336"/>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37.39*** (&lt;0.001)</w:t>
            </w:r>
          </w:p>
        </w:tc>
      </w:tr>
      <w:tr>
        <w:tc>
          <w:tcPr>
            <w:tcW w:type="dxa" w:w="234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Rho / Lambda</w:t>
            </w:r>
          </w:p>
        </w:tc>
        <w:tc>
          <w:tcPr>
            <w:tcW w:type="dxa" w:w="233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233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-0.068* (0.016)</w:t>
            </w:r>
          </w:p>
        </w:tc>
        <w:tc>
          <w:tcPr>
            <w:tcW w:type="dxa" w:w="2336"/>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-0.396 (0.079)</w:t>
            </w:r>
          </w:p>
        </w:tc>
      </w:tr>
      <w:tr>
        <w:tc>
          <w:tcPr>
            <w:tcW w:type="dxa" w:w="2340"/>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Adj. R2 / pseudo-R2</w:t>
            </w:r>
          </w:p>
        </w:tc>
        <w:tc>
          <w:tcPr>
            <w:tcW w:type="dxa" w:w="233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0.987</w:t>
            </w:r>
          </w:p>
        </w:tc>
        <w:tc>
          <w:tcPr>
            <w:tcW w:type="dxa" w:w="233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2336"/>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bl>
    <w:p>
      <w:pPr>
        <w:spacing w:after="200" w:line="360"/>
        <w:jc w:val="both"/>
      </w:pPr>
      <w:r>
        <w:rPr>
          <w:rFonts w:ascii="Times New Roman" w:cs="Times New Roman" w:eastAsia="Times New Roman" w:hAnsi="Times New Roman"/>
          <w:sz w:val="24"/>
          <w:szCs w:val="24"/>
        </w:rPr>
        <w:t xml:space="preserve"> </w:t>
      </w:r>
    </w:p>
    <w:p>
      <w:pPr>
        <w:pStyle w:val="Heading2"/>
        <w:spacing w:after="120" w:before="240"/>
      </w:pPr>
      <w:r>
        <w:rPr>
          <w:rFonts w:ascii="Times New Roman" w:cs="Times New Roman" w:eastAsia="Times New Roman" w:hAnsi="Times New Roman"/>
          <w:b/>
          <w:bCs/>
          <w:i/>
          <w:iCs/>
          <w:sz w:val="24"/>
          <w:szCs w:val="24"/>
        </w:rPr>
        <w:t xml:space="preserve">4.3 RQ3: National-level ARDL and error-correction results</w:t>
      </w:r>
    </w:p>
    <w:p>
      <w:pPr>
        <w:spacing w:after="200" w:line="360"/>
        <w:jc w:val="both"/>
      </w:pPr>
      <w:r>
        <w:rPr>
          <w:rFonts w:ascii="Times New Roman" w:cs="Times New Roman" w:eastAsia="Times New Roman" w:hAnsi="Times New Roman"/>
          <w:sz w:val="24"/>
          <w:szCs w:val="24"/>
        </w:rPr>
        <w:t xml:space="preserve">The selected ARDL(1,2,1) model achieved an adjusted R2 of 0.803, with energy use per capita statistically significant in the short run (p &lt; 0.01) and GDP significant as a long-run multiplier (p = 0.012; multiplier estimate 6.60e-11, std. error 2.38e-11). The unrestricted error-correction model's error-correction term - the coefficient on the lagged level of CO2 emissions - was -0.699 and highly statistically significant (p = 0.003; Table 5), indicating that approximately 70% of any deviation from the long-run emissions-GDP-energy equilibrium corrects within one year. This negative, significant, less-than-unity coefficient is itself standard evidence of a genuine cointegrating relationship, independent of the (non-computable) formal bounds test.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tblHeader/>
        </w:trPr>
        <w:tc>
          <w:tcPr>
            <w:tcW w:type="dxa" w:w="3117"/>
            <w:shd w:fill="D9E2F3"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Term</w:t>
            </w:r>
          </w:p>
        </w:tc>
        <w:tc>
          <w:tcPr>
            <w:tcW w:type="dxa" w:w="3117"/>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Coefficient</w:t>
            </w:r>
          </w:p>
        </w:tc>
        <w:tc>
          <w:tcPr>
            <w:tcW w:type="dxa" w:w="3116"/>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p-value</w:t>
            </w:r>
          </w:p>
        </w:tc>
      </w:tr>
      <w:tr>
        <w:tc>
          <w:tcPr>
            <w:tcW w:type="dxa" w:w="3117"/>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Error-correction term: L(CO2, 1)</w:t>
            </w:r>
          </w:p>
        </w:tc>
        <w:tc>
          <w:tcPr>
            <w:tcW w:type="dxa" w:w="311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-0.699</w:t>
            </w:r>
          </w:p>
        </w:tc>
        <w:tc>
          <w:tcPr>
            <w:tcW w:type="dxa" w:w="311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0.003 **</w:t>
            </w:r>
          </w:p>
        </w:tc>
      </w:tr>
      <w:tr>
        <w:tc>
          <w:tcPr>
            <w:tcW w:type="dxa" w:w="3117"/>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L(GDP, 1)</w:t>
            </w:r>
          </w:p>
        </w:tc>
        <w:tc>
          <w:tcPr>
            <w:tcW w:type="dxa" w:w="311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4.61e-11</w:t>
            </w:r>
          </w:p>
        </w:tc>
        <w:tc>
          <w:tcPr>
            <w:tcW w:type="dxa" w:w="311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0.005 **</w:t>
            </w:r>
          </w:p>
        </w:tc>
      </w:tr>
      <w:tr>
        <w:tc>
          <w:tcPr>
            <w:tcW w:type="dxa" w:w="3117"/>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L(energy per capita, 1)</w:t>
            </w:r>
          </w:p>
        </w:tc>
        <w:tc>
          <w:tcPr>
            <w:tcW w:type="dxa" w:w="311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1.33e-03</w:t>
            </w:r>
          </w:p>
        </w:tc>
        <w:tc>
          <w:tcPr>
            <w:tcW w:type="dxa" w:w="311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0.881</w:t>
            </w:r>
          </w:p>
        </w:tc>
      </w:tr>
      <w:tr>
        <w:tc>
          <w:tcPr>
            <w:tcW w:type="dxa" w:w="3117"/>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d(GDP)</w:t>
            </w:r>
          </w:p>
        </w:tc>
        <w:tc>
          <w:tcPr>
            <w:tcW w:type="dxa" w:w="311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2.63e-11</w:t>
            </w:r>
          </w:p>
        </w:tc>
        <w:tc>
          <w:tcPr>
            <w:tcW w:type="dxa" w:w="311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0.218</w:t>
            </w:r>
          </w:p>
        </w:tc>
      </w:tr>
      <w:tr>
        <w:tc>
          <w:tcPr>
            <w:tcW w:type="dxa" w:w="3117"/>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d(energy per capita)</w:t>
            </w:r>
          </w:p>
        </w:tc>
        <w:tc>
          <w:tcPr>
            <w:tcW w:type="dxa" w:w="311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2.44e-02</w:t>
            </w:r>
          </w:p>
        </w:tc>
        <w:tc>
          <w:tcPr>
            <w:tcW w:type="dxa" w:w="311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0.008 **</w:t>
            </w:r>
          </w:p>
        </w:tc>
      </w:tr>
      <w:tr>
        <w:tc>
          <w:tcPr>
            <w:tcW w:type="dxa" w:w="3117"/>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policy_index (post-2021)</w:t>
            </w:r>
          </w:p>
        </w:tc>
        <w:tc>
          <w:tcPr>
            <w:tcW w:type="dxa" w:w="311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10.27</w:t>
            </w:r>
          </w:p>
        </w:tc>
        <w:tc>
          <w:tcPr>
            <w:tcW w:type="dxa" w:w="3117"/>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0.183</w:t>
            </w:r>
          </w:p>
        </w:tc>
      </w:tr>
    </w:tbl>
    <w:p>
      <w:pPr>
        <w:spacing w:after="200" w:line="360"/>
        <w:jc w:val="both"/>
      </w:pPr>
      <w:r>
        <w:rPr>
          <w:rFonts w:ascii="Times New Roman" w:cs="Times New Roman" w:eastAsia="Times New Roman" w:hAnsi="Times New Roman"/>
          <w:sz w:val="24"/>
          <w:szCs w:val="24"/>
        </w:rPr>
        <w:t xml:space="preserve"> </w:t>
      </w:r>
    </w:p>
    <w:p>
      <w:pPr>
        <w:spacing w:after="200" w:line="360"/>
        <w:jc w:val="both"/>
      </w:pPr>
      <w:r>
        <w:rPr>
          <w:rFonts w:ascii="Times New Roman" w:cs="Times New Roman" w:eastAsia="Times New Roman" w:hAnsi="Times New Roman"/>
          <w:sz w:val="24"/>
          <w:szCs w:val="24"/>
        </w:rPr>
        <w:t xml:space="preserve">Diagnostic tests indicate a generally well-specified model: no evidence of heteroskedasticity (Breusch-Pagan p = 0.177), normally distributed residuals (Jarque-Bera p = 0.750), and stable parameters across the sample period (CUSUM p = 0.923) - the latter particularly notable given the 2021-2022 policy shift falls within the sample window, and indicating no evidence of a structural break large enough to destabilise the model's other coefficients. A Breusch-Godfrey test indicates borderline serial correlation (p = 0.048), a caveat worth noting in any formal presentation of these results. The post-2021 policy dummy is positive but not statistically significant (coefficient = 10.27, p = 0.183), consistent with the limited statistical power available from only four post-2021 annual observations (2021-2024) rather than evidence that the policy had no effect.</w:t>
      </w:r>
    </w:p>
    <w:p>
      <w:pPr>
        <w:pStyle w:val="Heading1"/>
        <w:spacing w:after="160" w:before="320"/>
      </w:pPr>
      <w:r>
        <w:rPr>
          <w:rFonts w:ascii="Times New Roman" w:cs="Times New Roman" w:eastAsia="Times New Roman" w:hAnsi="Times New Roman"/>
          <w:b/>
          <w:bCs/>
          <w:sz w:val="26"/>
          <w:szCs w:val="26"/>
        </w:rPr>
        <w:t xml:space="preserve">5. Discussion</w:t>
      </w:r>
    </w:p>
    <w:p>
      <w:pPr>
        <w:spacing w:after="200" w:line="360"/>
        <w:jc w:val="both"/>
      </w:pPr>
      <w:r>
        <w:rPr>
          <w:rFonts w:ascii="Times New Roman" w:cs="Times New Roman" w:eastAsia="Times New Roman" w:hAnsi="Times New Roman"/>
          <w:sz w:val="24"/>
          <w:szCs w:val="24"/>
        </w:rPr>
        <w:t xml:space="preserve">Three findings stand out. First, onshore gas flaring in Nigeria is not merely high in absolute terms but is spatially highly concentrated, with three states - Delta, Rivers, and Bayelsa - forming a statistically robust hotspot that persisted throughout 2012-2024. This has direct implications for how flare-reduction financing and monitoring should be prioritised: a small number of states account for the overwhelming majority of onshore flaring volume, and efforts distributed evenly across all 36 states plus the FCT would misallocate resources relative to where the problem is concentrated.</w:t>
      </w:r>
    </w:p>
    <w:p>
      <w:pPr>
        <w:spacing w:after="200" w:line="360"/>
        <w:jc w:val="both"/>
      </w:pPr>
      <w:r>
        <w:rPr>
          <w:rFonts w:ascii="Times New Roman" w:cs="Times New Roman" w:eastAsia="Times New Roman" w:hAnsi="Times New Roman"/>
          <w:sz w:val="24"/>
          <w:szCs w:val="24"/>
        </w:rPr>
        <w:t xml:space="preserve">Second, the spatial clustering is explained almost entirely by the physical density of oil and gas infrastructure itself, not by socioeconomic development proxies such as electricity access. This is a substantively important null result: it indicates that flaring is driven by geological and infrastructural factors specific to the Niger Delta's oil fields, not by broader patterns of regional development, and that policy interventions aimed at general electrification are unlikely to have meaningful spillover effects on flaring reduction.</w:t>
      </w:r>
    </w:p>
    <w:p>
      <w:pPr>
        <w:spacing w:after="200" w:line="360"/>
        <w:jc w:val="both"/>
      </w:pPr>
      <w:r>
        <w:rPr>
          <w:rFonts w:ascii="Times New Roman" w:cs="Times New Roman" w:eastAsia="Times New Roman" w:hAnsi="Times New Roman"/>
          <w:sz w:val="24"/>
          <w:szCs w:val="24"/>
        </w:rPr>
        <w:t xml:space="preserve">Third, the national-level evidence is consistent with a genuine long-run relationship between emissions, GDP, and energy use, but the data available are not yet sufficient to isolate a statistically distinguishable effect of the 2021 Climate Change Act. This is an honest data limitation rather than evidence against the policy's effectiveness: only four annual observations exist since the Act took effect, which constrains any statistical test regardless of the policy's true underlying effect. As more post-2021 data accumulate in future years, this test can be revisited with considerably greater statistical power.</w:t>
      </w:r>
    </w:p>
    <w:p>
      <w:pPr>
        <w:spacing w:after="200" w:line="360"/>
        <w:jc w:val="both"/>
      </w:pPr>
      <w:r>
        <w:rPr>
          <w:rFonts w:ascii="Times New Roman" w:cs="Times New Roman" w:eastAsia="Times New Roman" w:hAnsi="Times New Roman"/>
          <w:sz w:val="24"/>
          <w:szCs w:val="24"/>
        </w:rPr>
        <w:t xml:space="preserve">These results should be read alongside the study's principal limitations. Nigeria's absence of an official sub-national emissions inventory necessitated a proxy-based approach (flaring volume, LGA-aggregated electrification) rather than direct measurement, and the electricity access data derive from a single survey year (2018) rather than an annual series matched to the flaring panel. The formal ARDL bounds test could not be computed due to a well-documented small-sample limitation; the error-correction term is offered as a recognised, though less commonly reported, alternative source of cointegration evidence.</w:t>
      </w:r>
    </w:p>
    <w:p>
      <w:pPr>
        <w:pStyle w:val="Heading1"/>
        <w:spacing w:after="160" w:before="320"/>
      </w:pPr>
      <w:r>
        <w:rPr>
          <w:rFonts w:ascii="Times New Roman" w:cs="Times New Roman" w:eastAsia="Times New Roman" w:hAnsi="Times New Roman"/>
          <w:b/>
          <w:bCs/>
          <w:sz w:val="26"/>
          <w:szCs w:val="26"/>
        </w:rPr>
        <w:t xml:space="preserve">6. Conclusion and Policy Implications</w:t>
      </w:r>
    </w:p>
    <w:p>
      <w:pPr>
        <w:spacing w:after="200" w:line="360"/>
        <w:jc w:val="both"/>
      </w:pPr>
      <w:r>
        <w:rPr>
          <w:rFonts w:ascii="Times New Roman" w:cs="Times New Roman" w:eastAsia="Times New Roman" w:hAnsi="Times New Roman"/>
          <w:sz w:val="24"/>
          <w:szCs w:val="24"/>
        </w:rPr>
        <w:t xml:space="preserve">This study provides the first sub-national, spatially-resolved assessment linking Nigeria's net-zero policy framework to measurable regional flaring outcomes. Its central finding - that a small number of Niger Delta states account for a statistically robust hotspot of onshore flaring, explained primarily by infrastructure density rather than general development - offers a direct, actionable basis for targeting the geographic and sectoral allocation of Nigeria's 2026 Net-Zero Investment Plan. Future work should extend the sub-national analysis as additional post-2021 data become available, incorporate a directly-measured or updated electrification series, and pursue the comparative benchmarking against South Africa's and India's net-zero pathways originally scoped for this project but not completed in this iteration.</w:t>
      </w:r>
    </w:p>
    <w:p>
      <w:pPr>
        <w:pStyle w:val="Heading1"/>
        <w:spacing w:after="160" w:before="320"/>
      </w:pPr>
      <w:r>
        <w:rPr>
          <w:rFonts w:ascii="Times New Roman" w:cs="Times New Roman" w:eastAsia="Times New Roman" w:hAnsi="Times New Roman"/>
          <w:b/>
          <w:bCs/>
          <w:sz w:val="26"/>
          <w:szCs w:val="26"/>
        </w:rPr>
        <w:t xml:space="preserve">References</w:t>
      </w:r>
    </w:p>
    <w:p>
      <w:pPr>
        <w:spacing w:after="160" w:line="280"/>
        <w:ind w:left="360" w:hanging="360"/>
      </w:pPr>
      <w:r>
        <w:rPr>
          <w:rFonts w:ascii="Times New Roman" w:cs="Times New Roman" w:eastAsia="Times New Roman" w:hAnsi="Times New Roman"/>
          <w:sz w:val="22"/>
          <w:szCs w:val="22"/>
        </w:rPr>
        <w:t xml:space="preserve">Anselin, L. (1995). Local indicators of spatial association - LISA. Geographical Analysis, 27(2), 93-115.</w:t>
      </w:r>
    </w:p>
    <w:p>
      <w:pPr>
        <w:spacing w:after="160" w:line="280"/>
        <w:ind w:left="360" w:hanging="360"/>
      </w:pPr>
      <w:r>
        <w:rPr>
          <w:rFonts w:ascii="Times New Roman" w:cs="Times New Roman" w:eastAsia="Times New Roman" w:hAnsi="Times New Roman"/>
          <w:sz w:val="22"/>
          <w:szCs w:val="22"/>
        </w:rPr>
        <w:t xml:space="preserve">Anselin, L., Bera, A. K., Florax, R., &amp; Yoon, M. J. (1996). Simple diagnostic tests for spatial dependence. Regional Science and Urban Economics, 26(1), 77-104.</w:t>
      </w:r>
    </w:p>
    <w:p>
      <w:pPr>
        <w:spacing w:after="160" w:line="280"/>
        <w:ind w:left="360" w:hanging="360"/>
      </w:pPr>
      <w:r>
        <w:rPr>
          <w:rFonts w:ascii="Times New Roman" w:cs="Times New Roman" w:eastAsia="Times New Roman" w:hAnsi="Times New Roman"/>
          <w:sz w:val="22"/>
          <w:szCs w:val="22"/>
        </w:rPr>
        <w:t xml:space="preserve">Federal Republic of Nigeria. (2021). Climate Change Act.</w:t>
      </w:r>
    </w:p>
    <w:p>
      <w:pPr>
        <w:spacing w:after="160" w:line="280"/>
        <w:ind w:left="360" w:hanging="360"/>
      </w:pPr>
      <w:r>
        <w:rPr>
          <w:rFonts w:ascii="Times New Roman" w:cs="Times New Roman" w:eastAsia="Times New Roman" w:hAnsi="Times New Roman"/>
          <w:sz w:val="22"/>
          <w:szCs w:val="22"/>
        </w:rPr>
        <w:t xml:space="preserve">Federal Republic of Nigeria. (2022, updated 2024). Energy Transition Plan.</w:t>
      </w:r>
    </w:p>
    <w:p>
      <w:pPr>
        <w:spacing w:after="160" w:line="280"/>
        <w:ind w:left="360" w:hanging="360"/>
      </w:pPr>
      <w:r>
        <w:rPr>
          <w:rFonts w:ascii="Times New Roman" w:cs="Times New Roman" w:eastAsia="Times New Roman" w:hAnsi="Times New Roman"/>
          <w:sz w:val="22"/>
          <w:szCs w:val="22"/>
        </w:rPr>
        <w:t xml:space="preserve">Federal Republic of Nigeria. (2024). Long-Term Low-Emissions Development Strategy (LT-LEDS).</w:t>
      </w:r>
    </w:p>
    <w:p>
      <w:pPr>
        <w:spacing w:after="160" w:line="280"/>
        <w:ind w:left="360" w:hanging="360"/>
      </w:pPr>
      <w:r>
        <w:rPr>
          <w:rFonts w:ascii="Times New Roman" w:cs="Times New Roman" w:eastAsia="Times New Roman" w:hAnsi="Times New Roman"/>
          <w:sz w:val="22"/>
          <w:szCs w:val="22"/>
        </w:rPr>
        <w:t xml:space="preserve">Moran, P. A. P. (1950). Notes on continuous stochastic phenomena. Biometrika, 37(1/2), 17-23.</w:t>
      </w:r>
    </w:p>
    <w:p>
      <w:pPr>
        <w:spacing w:after="160" w:line="280"/>
        <w:ind w:left="360" w:hanging="360"/>
      </w:pPr>
      <w:r>
        <w:rPr>
          <w:rFonts w:ascii="Times New Roman" w:cs="Times New Roman" w:eastAsia="Times New Roman" w:hAnsi="Times New Roman"/>
          <w:sz w:val="22"/>
          <w:szCs w:val="22"/>
        </w:rPr>
        <w:t xml:space="preserve">Musa, K. S., Chindo, S., &amp; Maijama'a, R. (2021). Financial market development and CO2 emissions nexus in Nigeria: An application of ARDL approach. Journal of Developing Economies, 6(1), 91-113.</w:t>
      </w:r>
    </w:p>
    <w:p>
      <w:pPr>
        <w:spacing w:after="160" w:line="280"/>
        <w:ind w:left="360" w:hanging="360"/>
      </w:pPr>
      <w:r>
        <w:rPr>
          <w:rFonts w:ascii="Times New Roman" w:cs="Times New Roman" w:eastAsia="Times New Roman" w:hAnsi="Times New Roman"/>
          <w:sz w:val="22"/>
          <w:szCs w:val="22"/>
        </w:rPr>
        <w:t xml:space="preserve">Pesaran, M. H., Shin, Y., &amp; Smith, R. J. (2001). Bounds testing approaches to the analysis of level relationships. Journal of Applied Econometrics, 16(3), 289-326.</w:t>
      </w:r>
    </w:p>
    <w:p>
      <w:pPr>
        <w:spacing w:after="160" w:line="280"/>
        <w:ind w:left="360" w:hanging="360"/>
      </w:pPr>
      <w:r>
        <w:rPr>
          <w:rFonts w:ascii="Times New Roman" w:cs="Times New Roman" w:eastAsia="Times New Roman" w:hAnsi="Times New Roman"/>
          <w:sz w:val="22"/>
          <w:szCs w:val="22"/>
        </w:rPr>
        <w:t xml:space="preserve">Sulaiman, C., &amp; Abdul-Rahim, A. S. (2018). Population growth and CO2 emission in Nigeria: A recursive ARDL approach. SAGE Open, 8(2).</w:t>
      </w:r>
    </w:p>
    <w:p>
      <w:pPr>
        <w:spacing w:after="160" w:line="280"/>
        <w:ind w:left="360" w:hanging="360"/>
      </w:pPr>
      <w:r>
        <w:rPr>
          <w:rFonts w:ascii="Times New Roman" w:cs="Times New Roman" w:eastAsia="Times New Roman" w:hAnsi="Times New Roman"/>
          <w:sz w:val="22"/>
          <w:szCs w:val="22"/>
        </w:rPr>
        <w:t xml:space="preserve">World Bank Global Gas Flaring Reduction Partnership (GGFR). Global Gas Flaring Tracker Reports.</w:t>
      </w:r>
    </w:p>
    <w:p>
      <w:pPr>
        <w:spacing w:after="200" w:line="360"/>
        <w:jc w:val="both"/>
      </w:pPr>
      <w:r>
        <w:rPr>
          <w:rFonts w:ascii="Times New Roman" w:cs="Times New Roman" w:eastAsia="Times New Roman" w:hAnsi="Times New Roman"/>
          <w:sz w:val="24"/>
          <w:szCs w:val="24"/>
        </w:rPr>
        <w:t xml:space="preserve"> </w:t>
      </w:r>
    </w:p>
    <w:p>
      <w:pPr>
        <w:spacing w:after="200" w:line="360"/>
        <w:jc w:val="both"/>
      </w:pPr>
      <w:r>
        <w:rPr>
          <w:rFonts w:ascii="Times New Roman" w:cs="Times New Roman" w:eastAsia="Times New Roman" w:hAnsi="Times New Roman"/>
          <w:i/>
          <w:iCs/>
          <w:sz w:val="20"/>
          <w:szCs w:val="20"/>
        </w:rPr>
        <w:t xml:space="preserve">Note: This reference list reflects a small number of verified, real sources anchoring the methodology and policy background. A submission-ready manuscript will need a substantially expanded literature review compiled from the author's own reading, particularly for comparative net-zero pathway studies (South Africa, India) and additional Nigeria-specific gas flaring econometric studies.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6"/>
        <w:szCs w:val="16"/>
      </w:rPr>
      <w:t xml:space="preserve">Nigeria Net-Zero 2060 — Spatial-Econometric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a393af1c28ca88a4d91569c896be216ab90e2c.png"/><Relationship Id="rId10" Type="http://schemas.openxmlformats.org/officeDocument/2006/relationships/image" Target="media/d2ff99de3b6b6c9f41af3e52092d6abb9768c17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2026-08-30T18:55:07.210Z</dcterms:created>
  <dcterms:modified xsi:type="dcterms:W3CDTF">2026-08-30T18:55:07.377Z</dcterms:modified>
</cp:coreProperties>
</file>

<file path=docProps/custom.xml><?xml version="1.0" encoding="utf-8"?>
<Properties xmlns="http://schemas.openxmlformats.org/officeDocument/2006/custom-properties" xmlns:vt="http://schemas.openxmlformats.org/officeDocument/2006/docPropsVTypes"/>
</file>