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comer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1 INTRODUÇÃO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Este documento apresenta os valores totais e condições comerciais a serem investidos na contratação da plataforma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 xml:space="preserve"> — solução de automação do recebimento e processamento de pedidos de compra por e-mail e WhatsApp, com extração por inteligência artificial e integração ao ERP. O detalhamento de escopo da contratação está descrito na </w:t>
      </w:r>
      <w:r>
        <w:rPr>
          <w:rFonts w:ascii="Calibri" w:hAnsi="Calibri"/>
          <w:b/>
          <w:i w:val="0"/>
          <w:color w:val="20262F"/>
          <w:sz w:val="18"/>
        </w:rPr>
        <w:t>Proposta Técnica ou Anexo Técnico</w:t>
      </w:r>
      <w:r>
        <w:rPr>
          <w:rFonts w:ascii="Calibri" w:hAnsi="Calibri"/>
          <w:b w:val="0"/>
          <w:i w:val="0"/>
          <w:color w:val="20262F"/>
          <w:sz w:val="18"/>
        </w:rPr>
        <w:t>. Ao dar aceite à presente Proposta Comercial, {{CLIENTE_RAZAO_SOCIAL}} aceita todos os termos da referida Proposta Técnica.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2 INVESTIMENTO</w:t>
      </w:r>
    </w:p>
    <w:p>
      <w:pPr>
        <w:spacing w:after="120" w:before="220" w:line="240" w:lineRule="auto"/>
        <w:jc w:val="left"/>
      </w:pPr>
      <w:r>
        <w:rPr>
          <w:rFonts w:ascii="Calibri" w:hAnsi="Calibri"/>
          <w:b w:val="0"/>
          <w:i w:val="0"/>
          <w:color w:val="33475B"/>
          <w:sz w:val="24"/>
        </w:rPr>
        <w:t>2.1 INVESTIMENTO PARA IMPLANTAÇÃO/SERVIÇOS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328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Unidade</w:t>
            </w:r>
          </w:p>
        </w:tc>
        <w:tc>
          <w:tcPr>
            <w:tcW w:type="dxa" w:w="1440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Quantidade</w:t>
            </w:r>
          </w:p>
        </w:tc>
        <w:tc>
          <w:tcPr>
            <w:tcW w:type="dxa" w:w="1440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Valor Total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SETUP : SOFTEUM : IMPLANTAÇÃO DA PLATAFORMA : PROVISIONAMENTO DO TENANT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FIXO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1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{{VALOR_SETUP_PLATAFORMA}}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SETUP : SOFTEUM : CONFIGURAÇÃO DE INTEGRAÇÃO COM O ERP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FIXO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1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{{VALOR_SETUP_ERP}}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SETUP : SOFTEUM : CARGA INICIAL DE CATÁLOGO E DE-PARA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FIXO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1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{{VALOR_SETUP_CATALOGO}}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Total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{{VALOR_SETUP_TOTAL}}</w:t>
            </w:r>
          </w:p>
        </w:tc>
      </w:tr>
    </w:tbl>
    <w:p>
      <w:pPr>
        <w:spacing w:after="200" w:before="0"/>
      </w:pPr>
    </w:p>
    <w:p>
      <w:pPr>
        <w:spacing w:after="120" w:before="220" w:line="240" w:lineRule="auto"/>
        <w:jc w:val="left"/>
      </w:pPr>
      <w:r>
        <w:rPr>
          <w:rFonts w:ascii="Calibri" w:hAnsi="Calibri"/>
          <w:b w:val="0"/>
          <w:i w:val="0"/>
          <w:color w:val="33475B"/>
          <w:sz w:val="24"/>
        </w:rPr>
        <w:t>2.2 INVESTIMENTO MENSAL (RECORRENTE)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328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656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Unidade</w:t>
            </w:r>
          </w:p>
        </w:tc>
        <w:tc>
          <w:tcPr>
            <w:tcW w:type="dxa" w:w="1440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Quantidade</w:t>
            </w:r>
          </w:p>
        </w:tc>
        <w:tc>
          <w:tcPr>
            <w:tcW w:type="dxa" w:w="1440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Valor Total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PLATAFORMA : SOFTEUM : {{PLANO}} : ATÉ {{TETO_PEDIDOS}} PEDIDOS/MÊS + CONEXÕES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FIXO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1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{{VALOR_PLATAFORMA}}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MENSALIDADE DE USO : SOFTEUM : {{PLANO}} : PEDIDOS PROCESSADOS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PEDIDOS/MÊS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{{TETO_PEDIDOS}}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{{VALOR_USO}}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MÓDULO : SOFTEUM : E-MAIL : MONITORAMENTO DE CAIXAS (GMAIL/OUTLOOK)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CAIXA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{{QTD_CAIXAS}}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{{VALOR_MODULO_EMAIL}}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MÓDULO : SOFTEUM : WHATSAPP : AGENTE DE IA (META CLOUD API)</w:t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NÚMERO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{{QTD_NUMEROS}}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{{VALOR_MODULO_WHATSAPP}}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</w:r>
          </w:p>
        </w:tc>
        <w:tc>
          <w:tcPr>
            <w:tcW w:type="dxa" w:w="165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Total</w:t>
            </w:r>
          </w:p>
        </w:tc>
        <w:tc>
          <w:tcPr>
            <w:tcW w:type="dxa" w:w="144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{{VALOR_MENSAL_TOTAL}}</w:t>
            </w:r>
          </w:p>
        </w:tc>
      </w:tr>
    </w:tbl>
    <w:p>
      <w:pPr>
        <w:spacing w:after="40" w:before="160" w:line="269" w:lineRule="auto"/>
        <w:jc w:val="left"/>
      </w:pPr>
      <w:r>
        <w:rPr>
          <w:rFonts w:ascii="Calibri" w:hAnsi="Calibri"/>
          <w:b/>
          <w:i w:val="0"/>
          <w:color w:val="20262F"/>
          <w:sz w:val="16"/>
        </w:rPr>
        <w:t>Legendas</w:t>
      </w:r>
    </w:p>
    <w:p>
      <w:pPr>
        <w:spacing w:after="6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6"/>
        </w:rPr>
        <w:t>* Módulos de E-mail e WhatsApp são cobrados apenas quando contratados. As caixas e números monitorados estão listados no item 2.3.</w:t>
      </w:r>
    </w:p>
    <w:p>
      <w:pPr>
        <w:spacing w:after="40" w:before="160" w:line="269" w:lineRule="auto"/>
        <w:jc w:val="left"/>
      </w:pPr>
      <w:r>
        <w:rPr>
          <w:rFonts w:ascii="Calibri" w:hAnsi="Calibri"/>
          <w:b/>
          <w:i w:val="0"/>
          <w:color w:val="20262F"/>
          <w:sz w:val="16"/>
        </w:rPr>
        <w:t>Observações:</w:t>
      </w:r>
    </w:p>
    <w:p>
      <w:pPr>
        <w:spacing w:after="6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6"/>
        </w:rPr>
        <w:t>Para os itens com cobrança variável em função do uso (faixas de quantidade de pedidos processados), a cobrança para fins de faturamento será em função da quantidade utilizada. Nos casos em que o uso apurado seja maior que a faixa inicialmente contratada, a cobrança deverá seguir a tabela ANEXO I – FAIXAS DE COBRANÇA desta proposta. E caso a apuração seja menor, será considerada a faixa inicialmente contratada.</w:t>
      </w:r>
    </w:p>
    <w:p>
      <w:pPr>
        <w:spacing w:after="120" w:before="220" w:line="240" w:lineRule="auto"/>
        <w:jc w:val="left"/>
      </w:pPr>
      <w:r>
        <w:rPr>
          <w:rFonts w:ascii="Calibri" w:hAnsi="Calibri"/>
          <w:b w:val="0"/>
          <w:i w:val="0"/>
          <w:color w:val="33475B"/>
          <w:sz w:val="24"/>
        </w:rPr>
        <w:t>2.3 CONEXÕES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9864"/>
            <w:gridSpan w:val="2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Canais monitorados e integrações</w:t>
            </w:r>
          </w:p>
        </w:tc>
      </w:tr>
      <w:tr>
        <w:tc>
          <w:tcPr>
            <w:tcW w:type="dxa" w:w="2592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7272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Identificação</w:t>
            </w:r>
          </w:p>
        </w:tc>
      </w:tr>
      <w:tr>
        <w:tc>
          <w:tcPr>
            <w:tcW w:type="dxa" w:w="259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Caixa de e-mail</w:t>
            </w:r>
          </w:p>
        </w:tc>
        <w:tc>
          <w:tcPr>
            <w:tcW w:type="dxa" w:w="727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{{EMAIL_MONITORADO_1}}  ·  {{PROVIDER_EMAIL_1}}</w:t>
            </w:r>
          </w:p>
        </w:tc>
      </w:tr>
      <w:tr>
        <w:tc>
          <w:tcPr>
            <w:tcW w:type="dxa" w:w="259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Caixa de e-mail</w:t>
            </w:r>
          </w:p>
        </w:tc>
        <w:tc>
          <w:tcPr>
            <w:tcW w:type="dxa" w:w="727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{{EMAIL_MONITORADO_2}}  ·  {{PROVIDER_EMAIL_2}}</w:t>
            </w:r>
          </w:p>
        </w:tc>
      </w:tr>
      <w:tr>
        <w:tc>
          <w:tcPr>
            <w:tcW w:type="dxa" w:w="259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Número WhatsApp</w:t>
            </w:r>
          </w:p>
        </w:tc>
        <w:tc>
          <w:tcPr>
            <w:tcW w:type="dxa" w:w="727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{{WHATSAPP_1}}  ·  Meta Cloud API</w:t>
            </w:r>
          </w:p>
        </w:tc>
      </w:tr>
      <w:tr>
        <w:tc>
          <w:tcPr>
            <w:tcW w:type="dxa" w:w="259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Integração ERP</w:t>
            </w:r>
          </w:p>
        </w:tc>
        <w:tc>
          <w:tcPr>
            <w:tcW w:type="dxa" w:w="727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{{ERP_NOME_OU_ENDPOINT}}  ·  {{ERP_MODO}} (API self-service / webhook)</w:t>
            </w:r>
          </w:p>
        </w:tc>
      </w:tr>
    </w:tbl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3 CONDIÇÕES COMERCIAIS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a) Todos os valores apresentados nesta proposta já estão acrescidos de impostos, taxas, contribuições e quaisquer outros tributos incidentes.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b) A presente contratação entra em vigor na data de sua assinatura ou da sua aceitação, inclusive por meio de emissão de pedido de compra por parte de </w:t>
      </w:r>
      <w:r>
        <w:rPr>
          <w:rFonts w:ascii="Calibri" w:hAnsi="Calibri"/>
          <w:b/>
          <w:i w:val="0"/>
          <w:color w:val="20262F"/>
          <w:sz w:val="18"/>
        </w:rPr>
        <w:t>{{CLIENTE_RAZAO_SOCIAL}}</w:t>
      </w:r>
      <w:r>
        <w:rPr>
          <w:rFonts w:ascii="Calibri" w:hAnsi="Calibri"/>
          <w:b w:val="0"/>
          <w:i w:val="0"/>
          <w:color w:val="20262F"/>
          <w:sz w:val="18"/>
        </w:rPr>
        <w:t>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c) O prazo de contratação é de </w:t>
      </w:r>
      <w:r>
        <w:rPr>
          <w:rFonts w:ascii="Calibri" w:hAnsi="Calibri"/>
          <w:b/>
          <w:i w:val="0"/>
          <w:color w:val="20262F"/>
          <w:sz w:val="18"/>
        </w:rPr>
        <w:t>{{PRAZO_CONTRATO}}</w:t>
      </w:r>
      <w:r>
        <w:rPr>
          <w:rFonts w:ascii="Calibri" w:hAnsi="Calibri"/>
          <w:b w:val="0"/>
          <w:i w:val="0"/>
          <w:color w:val="20262F"/>
          <w:sz w:val="18"/>
        </w:rPr>
        <w:t xml:space="preserve"> meses. As Partes poderão rescindir esta contratação sem justa causa, a qualquer tempo, bastando informar a outra parte por escrito com {{DIAS_AVISO}} dias de antecedência.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d) O </w:t>
      </w:r>
      <w:r>
        <w:rPr>
          <w:rFonts w:ascii="Calibri" w:hAnsi="Calibri"/>
          <w:b/>
          <w:i w:val="0"/>
          <w:color w:val="20262F"/>
          <w:sz w:val="18"/>
        </w:rPr>
        <w:t>Investimento para Implantação/Serviços</w:t>
      </w:r>
      <w:r>
        <w:rPr>
          <w:rFonts w:ascii="Calibri" w:hAnsi="Calibri"/>
          <w:b w:val="0"/>
          <w:i w:val="0"/>
          <w:color w:val="20262F"/>
          <w:sz w:val="18"/>
        </w:rPr>
        <w:t xml:space="preserve"> (item 2.1) será cobrado com prazo de vencimento </w:t>
      </w:r>
      <w:r>
        <w:rPr>
          <w:rFonts w:ascii="Calibri" w:hAnsi="Calibri"/>
          <w:b/>
          <w:i w:val="0"/>
          <w:color w:val="20262F"/>
          <w:sz w:val="18"/>
        </w:rPr>
        <w:t>{{VENCIMENTO_SETUP}}</w:t>
      </w:r>
      <w:r>
        <w:rPr>
          <w:rFonts w:ascii="Calibri" w:hAnsi="Calibri"/>
          <w:b w:val="0"/>
          <w:i w:val="0"/>
          <w:color w:val="20262F"/>
          <w:sz w:val="18"/>
        </w:rPr>
        <w:t xml:space="preserve"> via {{FORMA_PAGAMENTO}} (processado pela Asaas), conforme abaixo:</w:t>
      </w:r>
    </w:p>
    <w:p>
      <w:pPr>
        <w:spacing w:after="80" w:before="40" w:line="269" w:lineRule="auto"/>
        <w:jc w:val="center"/>
      </w:pPr>
      <w:r>
        <w:rPr>
          <w:rFonts w:ascii="Calibri" w:hAnsi="Calibri"/>
          <w:b/>
          <w:i w:val="0"/>
          <w:color w:val="20262F"/>
          <w:sz w:val="18"/>
        </w:rPr>
        <w:t>{{CONDICAO_SETUP}}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736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Data da Parcela</w:t>
            </w:r>
          </w:p>
        </w:tc>
        <w:tc>
          <w:tcPr>
            <w:tcW w:type="dxa" w:w="2736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Valor da Parcela</w:t>
            </w:r>
          </w:p>
        </w:tc>
        <w:tc>
          <w:tcPr>
            <w:tcW w:type="dxa" w:w="4392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Condicional da Parcela</w:t>
            </w:r>
          </w:p>
        </w:tc>
      </w:tr>
      <w:tr>
        <w:tc>
          <w:tcPr>
            <w:tcW w:type="dxa" w:w="273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{{DATA_PARCELA}}</w:t>
            </w:r>
          </w:p>
        </w:tc>
        <w:tc>
          <w:tcPr>
            <w:tcW w:type="dxa" w:w="2736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{{VALOR_PARCELA}}</w:t>
            </w:r>
          </w:p>
        </w:tc>
        <w:tc>
          <w:tcPr>
            <w:tcW w:type="dxa" w:w="439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{{CONDICIONAL_PARCELA}}</w:t>
            </w:r>
          </w:p>
        </w:tc>
      </w:tr>
    </w:tbl>
    <w:p>
      <w:pPr>
        <w:spacing w:after="80" w:before="0"/>
      </w:pP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e) Cláusula(s) da(s) oferta(s):</w:t>
      </w:r>
    </w:p>
    <w:p>
      <w:pPr>
        <w:pStyle w:val="ListBullet"/>
        <w:spacing w:after="60" w:line="259" w:lineRule="auto"/>
      </w:pPr>
      <w:r>
        <w:rPr>
          <w:rFonts w:ascii="Calibri" w:hAnsi="Calibri"/>
          <w:b w:val="0"/>
          <w:i w:val="0"/>
          <w:color w:val="20262F"/>
          <w:sz w:val="18"/>
        </w:rPr>
        <w:t>o Investimento Mensal (item 2.2) será cobrado a partir do momento em que for liberado o acesso à plataforma, com prazo de vencimento de {{VENCIMENTO_MENSAL}} via {{FORMA_PAGAMENTO}}, a contar da data de emissão da nota fiscal.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f) A cobrança dos investimentos de implantação e investimento mensal acordados na presente proposta ocorrerão independentemente da formalização ou aprovação de outros documentos.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g) Os valores recorrentes serão reajustados anualmente pelo índice {{INDICE_REAJUSTE}}, ou o que vier a substituí-lo.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4 CONDIÇÕES GERAIS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a) As condições desta proposta são válidas para aceite em até {{VALIDADE_DIAS}} dias após a data de emissão. A partir de sua expiração, as condições poderão ser revistas.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b) </w:t>
      </w:r>
      <w:r>
        <w:rPr>
          <w:rFonts w:ascii="Calibri" w:hAnsi="Calibri"/>
          <w:b/>
          <w:i w:val="0"/>
          <w:color w:val="20262F"/>
          <w:sz w:val="18"/>
        </w:rPr>
        <w:t>{{CLIENTE_RAZAO_SOCIAL}}</w:t>
      </w:r>
      <w:r>
        <w:rPr>
          <w:rFonts w:ascii="Calibri" w:hAnsi="Calibri"/>
          <w:b w:val="0"/>
          <w:i w:val="0"/>
          <w:color w:val="20262F"/>
          <w:sz w:val="18"/>
        </w:rPr>
        <w:t xml:space="preserve"> declara que todos os dados cadastrais contidos nesta Proposta Comercial são verdadeiros e válidos, tendo ciência de que 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 xml:space="preserve"> procederá com o faturamento nos termos e condições indicados nesta Proposta Comercial.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c) O contratante é responsável por manter válidas as credenciais de acesso às caixas de e-mail, aos números de WhatsApp e ao ERP, incluindo as autorizações OAuth necessárias à ingestão sem interrupção.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d) A integração ao ERP no modelo self-service é realizada pelo contratante, consumindo a API documentada e a chave gerada no próprio painel (Admin de TI); eventuais desenvolvimentos no ERP são de responsabilidade de </w:t>
      </w:r>
      <w:r>
        <w:rPr>
          <w:rFonts w:ascii="Calibri" w:hAnsi="Calibri"/>
          <w:b/>
          <w:i w:val="0"/>
          <w:color w:val="20262F"/>
          <w:sz w:val="18"/>
        </w:rPr>
        <w:t>{{CLIENTE_RAZAO_SOCIAL}}</w:t>
      </w:r>
      <w:r>
        <w:rPr>
          <w:rFonts w:ascii="Calibri" w:hAnsi="Calibri"/>
          <w:b w:val="0"/>
          <w:i w:val="0"/>
          <w:color w:val="20262F"/>
          <w:sz w:val="18"/>
        </w:rPr>
        <w:t>. Alternativamente, a Softeum pode entregar o pedido diretamente no endpoint do ERP (push/webhook), conforme configuração. Os dois modos são excludentes.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e) 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 xml:space="preserve"> extrai, normaliza e entrega os pedidos; nenhum item de pedido é criado fora do catálogo cadastrado pelo contratante. A IA sugere e o de-para valida de forma determinística contra o catálogo.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f) Proteção de dados (LGPD): os dados são tratados conforme a legislação aplicável, com isolamento por cliente (tenant) e criptografia das credenciais em repouso. Segredos e chaves nunca são expostos ao navegador.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g) A presente documentação é de propriedade da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>, tem caráter confidencial e não poderá ser objeto de reprodução total ou parcial, nem de cessão de uso, sem o consentimento prévio por escrito da Softeum.</w:t>
      </w:r>
    </w:p>
    <w:p>
      <w:pPr>
        <w:spacing w:after="12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h) Nível de serviço e disponibilidade conforme {{SLA}}. Indisponibilidades de provedores de terceiros (Gmail, Microsoft, Meta, ERP do cliente e gateways de pagamento) não constituem indisponibilidade da Softeum.</w:t>
      </w:r>
    </w:p>
    <w:p>
      <w:pPr>
        <w:spacing w:after="160" w:before="300" w:line="240" w:lineRule="auto"/>
        <w:jc w:val="left"/>
      </w:pPr>
      <w:r>
        <w:rPr>
          <w:rFonts w:ascii="Calibri" w:hAnsi="Calibri"/>
          <w:b w:val="0"/>
          <w:i w:val="0"/>
          <w:color w:val="33475B"/>
          <w:sz w:val="30"/>
        </w:rPr>
        <w:t>5 ACEITE DA PROPOSTA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 xml:space="preserve">Aceitamos as condições da proposta comercial </w:t>
      </w:r>
      <w:r>
        <w:rPr>
          <w:rFonts w:ascii="Calibri" w:hAnsi="Calibri"/>
          <w:b/>
          <w:i w:val="0"/>
          <w:color w:val="20262F"/>
          <w:sz w:val="18"/>
        </w:rPr>
        <w:t>{{NUMERO_PROPOSTA}} versão {{VERSAO}}</w:t>
      </w:r>
      <w:r>
        <w:rPr>
          <w:rFonts w:ascii="Calibri" w:hAnsi="Calibri"/>
          <w:b w:val="0"/>
          <w:i w:val="0"/>
          <w:color w:val="20262F"/>
          <w:sz w:val="18"/>
        </w:rPr>
        <w:t xml:space="preserve"> da </w:t>
      </w:r>
      <w:r>
        <w:rPr>
          <w:rFonts w:ascii="Calibri" w:hAnsi="Calibri"/>
          <w:b/>
          <w:i w:val="0"/>
          <w:color w:val="20262F"/>
          <w:sz w:val="18"/>
        </w:rPr>
        <w:t>Softeum</w:t>
      </w:r>
      <w:r>
        <w:rPr>
          <w:rFonts w:ascii="Calibri" w:hAnsi="Calibri"/>
          <w:b w:val="0"/>
          <w:i w:val="0"/>
          <w:color w:val="20262F"/>
          <w:sz w:val="18"/>
        </w:rPr>
        <w:t xml:space="preserve"> e estamos de acordo com as condições, premissas do projeto, investimentos e custos requeridos para a plena execução desta contratação.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Nos termos do art. 10, §2º da Medida Provisória nº 2.200-2/2001, as Partes, neste ato, admitem como válida e aceita esta Proposta Comercial assinada eletronicamente, declarando a autenticidade da autoria das assinaturas e a integridade deste documento.</w:t>
      </w:r>
    </w:p>
    <w:p>
      <w:pPr>
        <w:spacing w:after="140" w:before="0" w:line="269" w:lineRule="auto"/>
        <w:jc w:val="left"/>
      </w:pPr>
      <w:r>
        <w:rPr>
          <w:rFonts w:ascii="Calibri" w:hAnsi="Calibri"/>
          <w:b/>
          <w:i w:val="0"/>
          <w:color w:val="20262F"/>
          <w:sz w:val="18"/>
        </w:rPr>
        <w:t>{{DATA}}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96"/>
          </w:tcPr>
          <w:p>
            <w:pPr>
              <w:spacing w:before="480" w:after="0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8"/>
              </w:rPr>
              <w:t>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{{SOFTEUM_ASSINANTE}}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472"/>
                <w:sz w:val="16"/>
              </w:rPr>
              <w:t>{{SOFTEUM_ASSINANTE_EMAIL}}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472"/>
                <w:sz w:val="16"/>
              </w:rPr>
              <w:t>Softeum</w:t>
            </w:r>
          </w:p>
        </w:tc>
        <w:tc>
          <w:tcPr>
            <w:tcW w:type="dxa" w:w="4968"/>
          </w:tcPr>
          <w:p>
            <w:pPr>
              <w:spacing w:before="480" w:after="0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8"/>
              </w:rPr>
              <w:t>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{{CLIENTE_ASSINANTE}}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472"/>
                <w:sz w:val="16"/>
              </w:rPr>
              <w:t>{{CLIENTE_RAZAO_SOCIAL}}</w:t>
            </w:r>
          </w:p>
        </w:tc>
      </w:tr>
      <w:tr>
        <w:tc>
          <w:tcPr>
            <w:tcW w:type="dxa" w:w="4896"/>
          </w:tcPr>
          <w:p>
            <w:pPr>
              <w:spacing w:before="480" w:after="0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8"/>
              </w:rPr>
              <w:t>_______________________________________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62F"/>
                <w:sz w:val="17"/>
              </w:rPr>
              <w:t>{{SOFTEUM_ASSINANTE_2}}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B6472"/>
                <w:sz w:val="16"/>
              </w:rPr>
              <w:t>Softeum</w:t>
            </w:r>
          </w:p>
        </w:tc>
        <w:tc>
          <w:tcPr>
            <w:tcW w:type="dxa" w:w="49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</w:r>
          </w:p>
        </w:tc>
      </w:tr>
    </w:tbl>
    <w:p>
      <w:pPr>
        <w:spacing w:after="280" w:before="0"/>
      </w:pP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4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Informações para Faturamento (Preenchimento Obrigatório)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Razão Social: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CNPJ: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E-mail para envio da FATURA: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Necessita número do pedido de compra na nota fiscal?: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Data limite de recebimento da nota fiscal: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Responsável Aprovação: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E-mail Responsável Aprovação:</w:t>
            </w:r>
          </w:p>
        </w:tc>
      </w:tr>
      <w:tr>
        <w:tc>
          <w:tcPr>
            <w:tcW w:type="dxa" w:w="986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7"/>
              </w:rPr>
              <w:t>Telefone Responsável Aprovação:</w:t>
            </w:r>
          </w:p>
        </w:tc>
      </w:tr>
    </w:tbl>
    <w:p>
      <w:pPr>
        <w:spacing w:after="160" w:before="80" w:line="240" w:lineRule="auto"/>
        <w:jc w:val="center"/>
      </w:pPr>
      <w:r>
        <w:rPr>
          <w:rFonts w:ascii="Calibri" w:hAnsi="Calibri"/>
          <w:b w:val="0"/>
          <w:i w:val="0"/>
          <w:color w:val="33475B"/>
          <w:sz w:val="30"/>
        </w:rPr>
        <w:t>ANEXO I - FAIXAS DE COBRANÇA</w:t>
      </w:r>
    </w:p>
    <w:p>
      <w:pPr>
        <w:spacing w:after="140" w:before="0" w:line="269" w:lineRule="auto"/>
        <w:jc w:val="both"/>
      </w:pPr>
      <w:r>
        <w:rPr>
          <w:rFonts w:ascii="Calibri" w:hAnsi="Calibri"/>
          <w:b w:val="0"/>
          <w:i w:val="0"/>
          <w:color w:val="20262F"/>
          <w:sz w:val="18"/>
        </w:rPr>
        <w:t>Seguem abaixo os valores unitários referentes às faixas de cobrança, para os casos em que o uso apurado pela solução seja diferente da faixa inicialmente contratada.</w:t>
      </w:r>
    </w:p>
    <w:tbl>
      <w:tblPr>
        <w:tblW w:type="auto" w:w="0"/>
        <w:jc w:val="center"/>
        <w:tblBorders>
          <w:top w:val="single" w:sz="4" w:space="0" w:color="B9C1CA"/>
          <w:left w:val="single" w:sz="4" w:space="0" w:color="B9C1CA"/>
          <w:bottom w:val="single" w:sz="4" w:space="0" w:color="B9C1CA"/>
          <w:right w:val="single" w:sz="4" w:space="0" w:color="B9C1CA"/>
          <w:insideH w:val="single" w:sz="4" w:space="0" w:color="B9C1CA"/>
          <w:insideV w:val="single" w:sz="4" w:space="0" w:color="B9C1CA"/>
        </w:tblBorders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5328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1944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Unidade</w:t>
            </w:r>
          </w:p>
        </w:tc>
        <w:tc>
          <w:tcPr>
            <w:tcW w:type="dxa" w:w="1224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Quantidade</w:t>
            </w:r>
          </w:p>
        </w:tc>
        <w:tc>
          <w:tcPr>
            <w:tcW w:type="dxa" w:w="1368"/>
            <w:shd w:val="clear" w:color="auto" w:fill="1F3B5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Valor Unitário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ATÉ 1.000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{{VU_FAIXA_1}}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1.001 A 5.000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{{VU_FAIXA_2}}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5.001 A 20.000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{{VU_FAIXA_3}}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20.001 A 50.000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{{VU_FAIXA_4}}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50.001 A 100.000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{{VU_FAIXA_5}}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100.001 A 300.000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{{VU_FAIXA_6}}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300.001 A 1.000.000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{{VU_FAIXA_7}}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1.000.001 A 3.000.000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{{VU_FAIXA_8}}</w:t>
            </w:r>
          </w:p>
        </w:tc>
      </w:tr>
      <w:tr>
        <w:tc>
          <w:tcPr>
            <w:tcW w:type="dxa" w:w="53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MENSALIDADE DE USO : SOFTEUM : PEDIDOS : ACIMA DE 3.000.000</w:t>
            </w:r>
          </w:p>
        </w:tc>
        <w:tc>
          <w:tcPr>
            <w:tcW w:type="dxa" w:w="194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PEDIDO</w:t>
            </w:r>
          </w:p>
        </w:tc>
        <w:tc>
          <w:tcPr>
            <w:tcW w:type="dxa" w:w="1224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0</w:t>
            </w:r>
          </w:p>
        </w:tc>
        <w:tc>
          <w:tcPr>
            <w:tcW w:type="dxa" w:w="136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>
            <w:pPr>
              <w:spacing w:after="0" w:line="247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20262F"/>
                <w:sz w:val="15"/>
              </w:rPr>
              <w:t>{{VU_FAIXA_9}}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472"/>
        <w:sz w:val="15"/>
      </w:rPr>
      <w:t>Softeum  ·  softeum.com.br  ·  CONFIDENCIAL  ·  {{SOFTEUM_CNPJ}}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6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