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NovaBank RAG 文件夹详细说明</w:t>
      </w:r>
    </w:p>
    <w:p>
      <w:r>
        <w:rPr>
          <w:b/>
        </w:rPr>
        <w:t>知识资源结构  数据处理流程  质量校验与开发边界</w:t>
      </w:r>
    </w:p>
    <w:p>
      <w:r>
        <w:rPr>
          <w:b w:val="0"/>
        </w:rPr>
        <w:t>说明日期  2026 年 10 月 14 日</w:t>
      </w:r>
    </w:p>
    <w:p>
      <w:r>
        <w:rPr>
          <w:b w:val="0"/>
        </w:rPr>
        <w:t>当前 RAG 已具备政策、FAQ、知识切片、问题表达映射和可重复构建能力，可以进入最小检索原型开发阶段。在线检索器、检索索引、回答生成与完整编排仍未实现，现有校验通过不能直接说明系统已经具备可靠的问答效果。</w:t>
      </w:r>
    </w:p>
    <w:p>
      <w:r>
        <w:rPr>
          <w:b w:val="0"/>
        </w:rPr>
        <w:t>本文面向项目开发者与评审人员，帮助读者理解 rag/ 中每类文件的用途、数据如何由政策转为检索资源、哪些规则已完成澄清，以及下一阶段如何验证检索质量。NovaBank 是虚构银行，政策费用、限额与操作均用于学术模拟。</w:t>
      </w:r>
    </w:p>
    <w:p>
      <w:pPr>
        <w:pStyle w:val="Heading2"/>
      </w:pPr>
      <w:r>
        <w:t>当前知识资源规模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1757"/>
        <w:gridCol w:w="5159"/>
      </w:tblGrid>
      <w:tr>
        <w:trPr>
          <w:tblHeader/>
          <w:cantSplit/>
          <w:cantSplit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当前数量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政策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13 份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v1.1 当前政策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BANKING77 意图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77 个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所有意图均有主切片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FAQ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231 条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每个意图 3 条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替代问题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693 条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每条 FAQ 3 个表达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完整问题表达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924 条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主问题加替代表达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知识块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151 个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按独立知识点组织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FAQ 候选映射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231 条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所有 FAQ 均有候选块</w:t>
            </w:r>
          </w:p>
        </w:tc>
      </w:tr>
    </w:tbl>
    <w:p>
      <w:pPr>
        <w:spacing w:after="0"/>
      </w:pPr>
    </w:p>
    <w:p>
      <w:pPr>
        <w:pStyle w:val="Heading2"/>
      </w:pPr>
      <w:r>
        <w:t>RAG 在项目中的职责</w:t>
      </w:r>
    </w:p>
    <w:p>
      <w:r>
        <w:rPr>
          <w:b w:val="0"/>
        </w:rPr>
        <w:t>B 模块检索政策证据并提供来源。A 模块识别意图、风险与实体；C 模块决定回答、拒答、升级或推荐许可；E 编排模块控制调用与状态合并，并组装最终回复。高风险报告必须先经过 C 的安全路由，检索结果不能替代业务许可，更不代表冻结、退款或转账已经执行。</w:t>
      </w:r>
    </w:p>
    <w:p>
      <w:r>
        <w:br w:type="page"/>
      </w:r>
    </w:p>
    <w:p>
      <w:pPr>
        <w:pStyle w:val="Heading1"/>
      </w:pPr>
      <w:r>
        <w:t>1 文件结构与维护边界</w:t>
      </w:r>
    </w:p>
    <w:p>
      <w:r>
        <w:rPr>
          <w:b w:val="0"/>
        </w:rPr>
        <w:t>RAG 根目录位于 src/banking_agent/modules/rag/。当前两个数据准备脚本保留在该目录，测试统一位于 tests/unit/。知识资源按输入、输出与审阅记录区分，便于定位构建来源。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rag/</w:t>
        <w:br/>
        <w:t xml:space="preserve">  __init__.py</w:t>
        <w:br/>
        <w:t xml:space="preserve">  build_knowledge_chunks.py</w:t>
        <w:br/>
        <w:t xml:space="preserve">  check_knowledge_quality.py</w:t>
        <w:br/>
        <w:t xml:space="preserve">  faqs/</w:t>
        <w:br/>
        <w:t xml:space="preserve">  chunk_sources/</w:t>
        <w:br/>
        <w:t xml:space="preserve">  chunks/</w:t>
        <w:br/>
        <w:t xml:space="preserve">  quality_reports/</w:t>
        <w:br/>
        <w:t xml:space="preserve">  novabank_category_master_policies_enriched_v1_1/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faqs/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客户 FAQ 主问题、替代表达和支持答案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chunk_sources/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人工维护的知识块草稿 TXT 是构建输入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chunks/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知识块 JSONL、FAQ 映射 JSONL、构建报告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quality_reports/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结构化知识质量报告、逐块记录与来源证据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政策包 policies/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13 份权威政策 Markdown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政策包 reports/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类别分析、规则变更与跨类别审阅记录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政策包 references/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公开参考来源登记，不作为客服事实依据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docs/rag/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便于阅读的知识质量审阅 Markdown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tests/unit/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FAQ 表达、期限澄清、知识修正回归测试</w:t>
            </w:r>
          </w:p>
        </w:tc>
      </w:tr>
    </w:tbl>
    <w:p>
      <w:pPr>
        <w:spacing w:after="0"/>
      </w:pPr>
    </w:p>
    <w:p>
      <w:pPr>
        <w:pStyle w:val="Heading2"/>
      </w:pPr>
      <w:r>
        <w:t>重要输入与可生成输出</w:t>
      </w:r>
    </w:p>
    <w:p>
      <w:r>
        <w:rPr>
          <w:b w:val="0"/>
        </w:rPr>
        <w:t>政策正文、FAQ 和手工切片草稿是维护输入。JSONL 切片、FAQ 候选映射与构建报告可由脚本重建。草稿 TXT 虽然是纯文本，却承载经过编辑的知识内容、标题和意图关联，不能当作临时文件删除。政策分析和来源登记保留了独有的研究与变更信息。</w:t>
      </w:r>
    </w:p>
    <w:p>
      <w:r>
        <w:rPr>
          <w:b w:val="0"/>
        </w:rPr>
        <w:t>政策包的 README、manifest.json 与 banking77_mapping.json 分别说明使用边界、记录政策清单与哈希、定义意图到业务类别的映射。novabank_shared_terms.json 记录共享参数，但回答事实仍应依据适用政策正文。</w:t>
      </w:r>
    </w:p>
    <w:p>
      <w:r>
        <w:br w:type="page"/>
      </w:r>
    </w:p>
    <w:p>
      <w:pPr>
        <w:pStyle w:val="Heading1"/>
      </w:pPr>
      <w:r>
        <w:t>2 Policy 与业务意图覆盖</w:t>
      </w:r>
    </w:p>
    <w:p>
      <w:r>
        <w:rPr>
          <w:b w:val="0"/>
        </w:rPr>
        <w:t>Policy 是事实权威。每份类别主政策覆盖若干 BANKING77 意图，并通过共享章节定义日历、费用、验证、安全与跨类别边界。元数据包括政策 ID、业务类别、版本、生效日、状态及合成标记。当前包使用 v1.1，生效日为 2026 年 10 月 11 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rPr>
          <w:tblHeader/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业务类别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意图数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主知识块数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卡片生命周期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20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卡片使用与访问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13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货币兑换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7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卡支付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12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ATM 取款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12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卡充值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17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安全与未识别交易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13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账户管理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11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银行转账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12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23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虚拟卡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6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现金与支票存款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3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身份验证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8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退款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6</w:t>
            </w:r>
          </w:p>
        </w:tc>
      </w:tr>
      <w:tr>
        <w:trPr>
          <w:cantSplit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合计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77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151</w:t>
            </w:r>
          </w:p>
        </w:tc>
      </w:tr>
    </w:tbl>
    <w:p>
      <w:pPr>
        <w:spacing w:after="0"/>
      </w:pPr>
    </w:p>
    <w:p>
      <w:pPr>
        <w:pStyle w:val="Heading2"/>
      </w:pPr>
      <w:r>
        <w:t>类别与意图的区别</w:t>
      </w:r>
    </w:p>
    <w:p>
      <w:r>
        <w:rPr>
          <w:b w:val="0"/>
        </w:rPr>
        <w:t>13 类是项目业务分组，BANKING77 提供的是 77 个标签。意图标签必须精确保留，例如 Refund_not_showing_up 的大小写和 reverted_card_payment? 的问号。多个块可以属于同一意图；一条共享规则也可以关联多个确实适用的意图。意图覆盖完整并不自动代表政策每个细节均已覆盖。</w:t>
      </w:r>
    </w:p>
    <w:p>
      <w:pPr>
        <w:pStyle w:val="Heading2"/>
      </w:pPr>
      <w:r>
        <w:t>必须保留的业务边界</w:t>
      </w:r>
    </w:p>
    <w:p>
      <w:r>
        <w:rPr>
          <w:b w:val="0"/>
        </w:rPr>
        <w:t>卡未到账与配送时间查询不同；商户退款、授权释放与网络撤销使用不同事件和期限；登录 passcode 与卡 PIN 有独立锁定规则；银行转账与外部卡充值有不同的失败和资金释放机制。不支持现金、支票或 direct debit 并不能成为忽略未授权扣款或诈骗报告的理由。</w:t>
      </w:r>
    </w:p>
    <w:p>
      <w:r>
        <w:br w:type="page"/>
      </w:r>
    </w:p>
    <w:p>
      <w:pPr>
        <w:pStyle w:val="Heading1"/>
      </w:pPr>
      <w:r>
        <w:t>3 FAQ 与问题表达映射</w:t>
      </w:r>
    </w:p>
    <w:p>
      <w:r>
        <w:rPr>
          <w:b w:val="0"/>
        </w:rPr>
        <w:t>FAQ 文件包含 231 条记录，每条对应精确意图、业务类别、政策 ID 与版本，并包含主问题、3 个替代表达、支持答案和检索关键词。其主要价值是将客户的自然语言表达连接到政策知识；构建脚本不会读取 FAQ 答案作为事实输入。</w:t>
      </w:r>
    </w:p>
    <w:p>
      <w:pPr>
        <w:pStyle w:val="Heading2"/>
      </w:pPr>
      <w:r>
        <w:t>FAQ 到切片的关联方式</w:t>
      </w:r>
    </w:p>
    <w:p>
      <w:r>
        <w:rPr>
          <w:b w:val="0"/>
        </w:rPr>
        <w:t>parse_faqs 校验字段、FAQ ID 唯一性和问题表达完整性，保留全部 924 个表达。build_faq_mapping 仅在政策 ID、版本、类别一致，且 FAQ 意图属于切片主意图或相关意图时选择候选。标题和正文的词汇重叠用于排序，结果不是语义置信度，也不是最终回答许可。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rPr>
          <w:tblHeader/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映射信息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当前结果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FAQ 记录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231 条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保留问题表达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924 条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有候选知识块的 FAQ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231 条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未匹配 FAQ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0 条</w:t>
            </w:r>
          </w:p>
        </w:tc>
      </w:tr>
      <w:tr>
        <w:trPr>
          <w:cantSplit/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含问题提示的知识块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110 个</w:t>
            </w:r>
          </w:p>
        </w:tc>
      </w:tr>
    </w:tbl>
    <w:p>
      <w:pPr>
        <w:spacing w:after="0"/>
      </w:pPr>
    </w:p>
    <w:p>
      <w:pPr>
        <w:pStyle w:val="Heading2"/>
      </w:pPr>
      <w:r>
        <w:t>映射文件的字段与用途</w:t>
      </w:r>
    </w:p>
    <w:p>
      <w:r>
        <w:rPr>
          <w:b w:val="0"/>
        </w:rPr>
        <w:t>NovaBank_faq_chunk_mapping_v1_1.jsonl 每行包含 faq_id、intent、来源 ID 与版本、question、alternative_questions、expressions、candidate_chunks、关联类型及状态。候选项记录 chunk_id 与 lexical_score。所有兼容块可以进入候选列表，因此“有候选”只说明存在合法关联，不说明排名已经正确或证据已经充分。</w:t>
      </w:r>
    </w:p>
    <w:p>
      <w:pPr>
        <w:pStyle w:val="Heading2"/>
      </w:pPr>
      <w:r>
        <w:t>示例</w:t>
      </w:r>
    </w:p>
    <w:p>
      <w:r>
        <w:rPr>
          <w:b w:val="0"/>
        </w:rPr>
        <w:t>客户问“商户说退款了，为什么还没有到账”，应关联 Refund_not_showing_up。候选证据需要区分商户实际发起退款、仅承诺退款与银行批准争议退款。最终使用哪个块，应依据问题中的事件和证据条件确定，不能因为出现 refund 一词就直接输出统一的等待期限。</w:t>
      </w:r>
    </w:p>
    <w:p>
      <w:r>
        <w:rPr>
          <w:b w:val="0"/>
        </w:rPr>
        <w:t>后续评测应使用独立编写的客户问题，避免直接拿这 693 条替代表达作测试集，否则测到的可能只是构建输入的词汇覆盖。</w:t>
      </w:r>
    </w:p>
    <w:p>
      <w:r>
        <w:br w:type="page"/>
      </w:r>
    </w:p>
    <w:p>
      <w:pPr>
        <w:pStyle w:val="Heading1"/>
      </w:pPr>
      <w:r>
        <w:t>4 知识块结构与切片原则</w:t>
      </w:r>
    </w:p>
    <w:p>
      <w:r>
        <w:rPr>
          <w:b w:val="0"/>
        </w:rPr>
        <w:t>知识块采用 UTF-8 JSONL，每行一个完整对象。当前 151 个块分为 policy 51 个、procedure 82 个、definition 13 个、warning 5 个。FAQ 没有被重复复制为独立事实块，减少同一规则在结果列表中重复出现。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685"/>
        <w:gridCol w:w="4195"/>
      </w:tblGrid>
      <w:tr>
        <w:trPr>
          <w:tblHeader/>
          <w:cantSplit/>
          <w:cantSplit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  <w:cantSplit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定位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chunk_id  title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唯一标识与独立主题</w:t>
            </w:r>
          </w:p>
        </w:tc>
      </w:tr>
      <w:tr>
        <w:trPr>
          <w:cantSplit/>
          <w:cantSplit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内容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content  knowledge_type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正文与政策／流程／定义／警告类型</w:t>
            </w:r>
          </w:p>
        </w:tc>
      </w:tr>
      <w:tr>
        <w:trPr>
          <w:cantSplit/>
          <w:cantSplit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意图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intent  related_intents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精确主标签与真正适用的相关标签</w:t>
            </w:r>
          </w:p>
        </w:tc>
      </w:tr>
      <w:tr>
        <w:trPr>
          <w:cantSplit/>
          <w:cantSplit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分类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category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所属业务类别</w:t>
            </w:r>
          </w:p>
        </w:tc>
      </w:tr>
      <w:tr>
        <w:trPr>
          <w:cantSplit/>
          <w:cantSplit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来源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source_policy_id</w:t>
              <w:br/>
              <w:t>source_policy_version</w:t>
              <w:br/>
              <w:t>source_document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原政策 ID、版本与来源路径</w:t>
            </w:r>
          </w:p>
        </w:tc>
      </w:tr>
      <w:tr>
        <w:trPr>
          <w:cantSplit/>
          <w:cantSplit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适用对象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customer_type  product</w:t>
              <w:br/>
              <w:t>region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个人客户、产品及政策地域背景</w:t>
            </w:r>
          </w:p>
        </w:tc>
      </w:tr>
      <w:tr>
        <w:trPr>
          <w:cantSplit/>
          <w:cantSplit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有效性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status  effective_date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当前有效状态与生效日期</w:t>
            </w:r>
          </w:p>
        </w:tc>
      </w:tr>
      <w:tr>
        <w:trPr>
          <w:cantSplit/>
          <w:cantSplit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检索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retrieval_keywords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  <w:jc w:val="center"/>
            </w:pPr>
            <w:r>
              <w:rPr>
                <w:rFonts w:ascii="Arial" w:hAnsi="Arial" w:eastAsia="Hiragino Sans GB"/>
                <w:sz w:val="18"/>
              </w:rPr>
              <w:t>主题词和客户问题表达提示</w:t>
            </w:r>
          </w:p>
        </w:tc>
      </w:tr>
    </w:tbl>
    <w:p>
      <w:pPr>
        <w:spacing w:after="0"/>
      </w:pPr>
    </w:p>
    <w:p>
      <w:pPr>
        <w:pStyle w:val="Heading2"/>
      </w:pPr>
      <w:r>
        <w:t>完整规则优先于固定字数</w:t>
      </w:r>
    </w:p>
    <w:p>
      <w:r>
        <w:rPr>
          <w:b w:val="0"/>
        </w:rPr>
        <w:t>建议块长为 50–150 词，但不能为了满足字数拆掉条件。当前两个块为保留验证、配送或安全例外略长于 150 词。每个期限都应保留起算事件，区分自然日、工作日和滚动窗口；共享日历或配送截止条件在必要时补入块内，让独立检索结果可以被理解。</w:t>
      </w:r>
    </w:p>
    <w:p>
      <w:pPr>
        <w:pStyle w:val="Heading2"/>
      </w:pPr>
      <w:r>
        <w:t>关键例子</w:t>
      </w:r>
    </w:p>
    <w:p>
      <w:r>
        <w:rPr>
          <w:b w:val="0"/>
        </w:rPr>
        <w:t>充值 pending 的 72 小时从记录的发卡行授权时间起算；最终 FAILED 状态启动银行发送释放指令的 1 个工作日窗口，发送指令再启动发卡行最长 5 个工作日的释放显示窗口。这三个时钟不能合并。退款累计金额上限是原成交本金，新增退款上限则是原本金减去已退金额。</w:t>
      </w:r>
    </w:p>
    <w:p>
      <w:r>
        <w:rPr>
          <w:b w:val="0"/>
        </w:rPr>
        <w:t>相关意图只能表示本条规则同样适用，不能直接复制映射文件中的语义邻近标签。编号和来源信息用于追溯，不是实际银行账户状态或操作执行证明。</w:t>
      </w:r>
    </w:p>
    <w:p>
      <w:r>
        <w:br w:type="page"/>
      </w:r>
    </w:p>
    <w:p>
      <w:pPr>
        <w:pStyle w:val="Heading1"/>
      </w:pPr>
      <w:r>
        <w:t>5 构建脚本与日常维护</w:t>
      </w:r>
    </w:p>
    <w:p>
      <w:pPr>
        <w:pStyle w:val="Heading2"/>
      </w:pPr>
      <w:r>
        <w:t>build_knowledge_chunks 的职责</w:t>
      </w:r>
    </w:p>
    <w:p>
      <w:r>
        <w:rPr>
          <w:b w:val="0"/>
        </w:rPr>
        <w:t>构建器是确定性数据准备工具。它读取 manifest 和政策，验证来源哈希与 active v1.1 元数据；解析 FAQ 主问题和替代表达；载入手工切片草稿；补充必要的日历、截止及安全上下文；生成知识块和 FAQ 候选映射，并输出校验报告。它不会自动总结任意新政策，也不会创建向量索引或调用模型。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python3 src/banking_agent/modules/rag/build_knowledge_chunks.py</w:t>
        <w:br/>
        <w:br/>
        <w:t>python3 src/banking_agent/modules/rag/build_knowledge_chunks.py</w:t>
        <w:br/>
        <w:t xml:space="preserve">  --output-dir /tmp/novabank-chunks-preview</w:t>
      </w:r>
    </w:p>
    <w:p>
      <w:r>
        <w:rPr>
          <w:b w:val="0"/>
        </w:rPr>
        <w:t>第二个命令以两行展示，实际执行应将参数接在同一行。默认构建会更新 chunks/ 中的知识块、FAQ 映射和校验报告。--rag-dir、--drafts 和 --output-dir 可覆盖输入输出位置。项目要求 Python 3.11 及以上，构建器仅使用标准库；不要使用 -O，因为它会禁用断言检查。</w:t>
      </w:r>
    </w:p>
    <w:p>
      <w:pPr>
        <w:pStyle w:val="Heading2"/>
      </w:pPr>
      <w:r>
        <w:t>政策变更的同步顺序</w:t>
      </w:r>
    </w:p>
    <w:p>
      <w:r>
        <w:rPr>
          <w:b w:val="0"/>
        </w:rPr>
        <w:t>先修改或澄清 Policy，再更新相关 FAQ 和草稿；随后更新经过批准的政策 manifest 哈希，运行构建器并查看报告；最后执行回归测试及必要的语义核对。仅重跑构建不能将新政策内容自动补入旧草稿，也不能替代政策审批。</w:t>
      </w:r>
    </w:p>
    <w:p>
      <w:pPr>
        <w:pStyle w:val="Heading2"/>
      </w:pPr>
      <w:r>
        <w:t>check_knowledge_quality 的实际边界</w:t>
      </w:r>
    </w:p>
    <w:p>
      <w:r>
        <w:rPr>
          <w:b w:val="0"/>
        </w:rPr>
        <w:t>该脚本保存的是原始人工审阅快照，使用预设知识块和政策哈希防止把旧判断套用到新材料。当前修正后的输入与旧快照不同，脚本会拒绝直接重放。它应作为审计代码保留，而不能被当作对任何新版本都有效的自动事实检查器。</w:t>
      </w:r>
    </w:p>
    <w:p>
      <w:pPr>
        <w:pStyle w:val="Heading2"/>
      </w:pPr>
      <w:r>
        <w:t>回归测试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python3 -m unittest discover -s tests/unit -p 'test_rag_*.py' -v</w:t>
      </w:r>
    </w:p>
    <w:p>
      <w:r>
        <w:rPr>
          <w:b w:val="0"/>
        </w:rPr>
        <w:t>当前 14 项 RAG 回归测试覆盖 FAQ 表达保留、候选作用域隔离、重复和无效输入拒绝、重建一致性、期限口径及知识质量修正。测试通过支持这些具体行为，不代表在线检索或所有业务场景已经验证。</w:t>
      </w:r>
    </w:p>
    <w:p>
      <w:r>
        <w:br w:type="page"/>
      </w:r>
    </w:p>
    <w:p>
      <w:pPr>
        <w:pStyle w:val="Heading1"/>
      </w:pPr>
      <w:r>
        <w:t>6 质量校验与已完成的优化</w:t>
      </w:r>
    </w:p>
    <w:p>
      <w:r>
        <w:rPr>
          <w:b w:val="0"/>
        </w:rPr>
        <w:t>构建报告为 PASS。它检查 JSONL 结构、标签覆盖、唯一 ID、元数据、政策哈希、数字字面量及同类别重复候选。数字出现在政策某处，并不自动证明它与块内条件正确绑定；词法相似度也不能替代语义判断。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tblHeader/>
          <w:cantSplit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优化项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统一规则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充值 pending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72 小时从发卡行授权起算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卡支付费用争议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60 自然日从争议费用入账起算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ATM 汇率争议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60 自然日从争议取款入账起算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ATM 状态和现金核对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状态查询 2 工作日；现金核对目标 10 工作日，均从证据完整时起算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退款上限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新增退款不超剩余本金；累计退款不超原本金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配送截止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超过截止时间或非工作日接受均顺延</w:t>
            </w:r>
          </w:p>
        </w:tc>
      </w:tr>
      <w:tr>
        <w:trPr>
          <w:cantSplit/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身份复核申报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30 自然日从最终决定通知客户时起算</w:t>
            </w:r>
          </w:p>
        </w:tc>
      </w:tr>
    </w:tbl>
    <w:p>
      <w:pPr>
        <w:spacing w:after="0"/>
      </w:pPr>
    </w:p>
    <w:p>
      <w:pPr>
        <w:pStyle w:val="Heading2"/>
      </w:pPr>
      <w:r>
        <w:t>跨类别候选去重</w:t>
      </w:r>
    </w:p>
    <w:p>
      <w:r>
        <w:rPr>
          <w:b w:val="0"/>
        </w:rPr>
        <w:t>已检查 10,321 对跨类别组合，得到 20 对候选。人工判断中，7 对可考虑抽取共享子规则，13 对需要保留业务区分，没有建议直接整块删除或合并的候选。共享 FX 费用、资金来源触发条件或地址修改核心可能适合统一；卡 PIN 与登录 passcode、卡充值失败与银行转账失败等必须独立。</w:t>
      </w:r>
    </w:p>
    <w:p>
      <w:pPr>
        <w:pStyle w:val="Heading2"/>
      </w:pPr>
      <w:r>
        <w:t>如何理解质量报告状态</w:t>
      </w:r>
    </w:p>
    <w:p>
      <w:r>
        <w:rPr>
          <w:b w:val="0"/>
        </w:rPr>
        <w:t>quality_reports 中的结构化报告记录三项新增事实问题的解决、逐块检查结果和候选判断。PASS_TARGETED_RECHECK_WITH_DEDUP_CANDIDATES 表示针对性复核完成并保留去重候选，不能理解为已测得召回率、所有内容零遗漏或获得法律认证。docs/rag/ 下的 Markdown 是同一审阅的可读说明。</w:t>
      </w:r>
    </w:p>
    <w:p>
      <w:r>
        <w:rPr>
          <w:b w:val="0"/>
        </w:rPr>
        <w:t>对于新增知识或政策变更，应重新核对金额、单位、适用对象、期限起点、例外和安全动作。必要的上下文重复应保留，避免去重后出现信息不完整的孤立规则。</w:t>
      </w:r>
    </w:p>
    <w:p>
      <w:r>
        <w:br w:type="page"/>
      </w:r>
    </w:p>
    <w:p>
      <w:pPr>
        <w:pStyle w:val="Heading1"/>
      </w:pPr>
      <w:r>
        <w:t>7 检索集成与下一阶段工作</w:t>
      </w:r>
    </w:p>
    <w:p>
      <w:r>
        <w:rPr>
          <w:b w:val="0"/>
        </w:rPr>
        <w:t>当前准备流程已经闭合，但真实的在线 RAG 仍待开发。建议先建立一个输入问题、返回候选知识块和来源的接口，测清检索质量后再接回答生成。下列流程是项目契约规定的目标流程，不是已运行的功能。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用户问题 → A 理解意图和风险 → C 首次规则检查</w:t>
        <w:br/>
        <w:t>允许检索 → B 获取政策证据 → E 写入 retrieved_docs</w:t>
        <w:br/>
        <w:t>C 再次判断证据 → ANSWER 或 ABSTAIN → E 组装带来源回复</w:t>
      </w:r>
    </w:p>
    <w:p>
      <w:r>
        <w:rPr>
          <w:b w:val="0"/>
        </w:rPr>
        <w:t>对于疑似诈骗、未授权交易等高风险场景，C 优先选择升级路径，不能为了查询政策而延迟保护。B 输出结构化证据，不决定是否回答。没有可靠证据时返回 empty 和空 docs；技术失败返回 error，不能被包装成成功结果。</w:t>
      </w:r>
    </w:p>
    <w:p>
      <w:pPr>
        <w:pStyle w:val="Heading2"/>
      </w:pPr>
      <w:r>
        <w:t>最小检索原型的实施顺序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tblHeader/>
          <w:cantSplit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263B52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交付与验收重点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1 加载知识资源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校验 JSONL、来源版本和生效日期，排除审阅与参考材料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2 构建检索候选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利用 FAQ 表达及政策块，支持直接检索 Policy 的补充路径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3 排序与去重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按知识块 ID 归并近似表达，结合问题事件筛选证据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4 独立问题评测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1F5F8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测 Recall@5，增加无证据、相近意图及安全边界问题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5 契约集成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rFonts w:ascii="Arial" w:hAnsi="Arial" w:eastAsia="Hiragino Sans GB"/>
                <w:sz w:val="18"/>
              </w:rPr>
              <w:t>返回 document_id、title、source、score、excerpt，由 C 再次判定</w:t>
            </w:r>
          </w:p>
        </w:tc>
      </w:tr>
    </w:tbl>
    <w:p>
      <w:pPr>
        <w:spacing w:after="0"/>
      </w:pPr>
    </w:p>
    <w:p>
      <w:pPr>
        <w:pStyle w:val="Heading2"/>
      </w:pPr>
      <w:r>
        <w:t>评测问题应验证什么</w:t>
      </w:r>
    </w:p>
    <w:p>
      <w:r>
        <w:rPr>
          <w:b w:val="0"/>
        </w:rPr>
        <w:t>例如“商户只是答应退款”与“商户已发起退款”必须得到不同的时间解释；周末提交卡订单不能把当天当作处理 Day 0；部分退款后，新增可退金额与累计上限必须区分；查询费用与报告未授权扣款不能走相同安全路线。评分最高只是候选，仍需判断适用性和证据是否足够。</w:t>
      </w:r>
    </w:p>
    <w:p>
      <w:pPr>
        <w:pStyle w:val="Heading2"/>
      </w:pPr>
      <w:r>
        <w:t>实施时需要协调的接口</w:t>
      </w:r>
    </w:p>
    <w:p>
      <w:r>
        <w:rPr>
          <w:b w:val="0"/>
        </w:rPr>
        <w:t>知识块的版本、类别和日期信息比当前 RetrievedDocument 输出字段更丰富。内部可以保留完整元数据，对外字段及事件日期输入如需扩展，应按 API 契约与共享 Schema 规则协调更新。不能让检索器直接创造业务 action 或绕过 C 的许可。</w:t>
      </w:r>
    </w:p>
    <w:p>
      <w:r>
        <w:br w:type="page"/>
      </w:r>
    </w:p>
    <w:p>
      <w:pPr>
        <w:pStyle w:val="Heading1"/>
      </w:pPr>
      <w:r>
        <w:t>8 关键文件阅读顺序</w:t>
      </w:r>
    </w:p>
    <w:p>
      <w:r>
        <w:rPr>
          <w:b w:val="0"/>
        </w:rPr>
        <w:t>首次接手项目时，先读职责和接口，再读政策、FAQ 和切片；最后看构建与质量报告。这样能区分事实来源、检索表达和系统决策，避免把准备脚本误认为完整 RAG 服务。以下路径均相对项目根目录。</w:t>
      </w:r>
    </w:p>
    <w:p>
      <w:pPr>
        <w:pStyle w:val="Heading2"/>
      </w:pPr>
      <w:r>
        <w:t>项目总览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README.md</w:t>
      </w:r>
    </w:p>
    <w:p>
      <w:r>
        <w:rPr>
          <w:b w:val="0"/>
        </w:rPr>
        <w:t>了解当前阶段、目录布局和运行命令。</w:t>
      </w:r>
    </w:p>
    <w:p>
      <w:pPr>
        <w:pStyle w:val="Heading2"/>
      </w:pPr>
      <w:r>
        <w:t>模块边界与接口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docs/module_ownership.md</w:t>
        <w:br/>
        <w:t>docs/module_api_contract.md</w:t>
        <w:br/>
        <w:t>docs/scenario_table.md</w:t>
      </w:r>
    </w:p>
    <w:p>
      <w:r>
        <w:rPr>
          <w:b w:val="0"/>
        </w:rPr>
        <w:t>理解 B、C、E 分工及安全路由。</w:t>
      </w:r>
    </w:p>
    <w:p>
      <w:pPr>
        <w:pStyle w:val="Heading2"/>
      </w:pPr>
      <w:r>
        <w:t>政策使用与清单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src/banking_agent/modules/rag/</w:t>
        <w:br/>
        <w:t>novabank_category_master_policies_enriched_v1_1/</w:t>
        <w:br/>
        <w:t>README.md 和 manifest.json</w:t>
      </w:r>
    </w:p>
    <w:p>
      <w:r>
        <w:rPr>
          <w:b w:val="0"/>
        </w:rPr>
        <w:t>查版本、来源哈希与入库规则。</w:t>
      </w:r>
    </w:p>
    <w:p>
      <w:pPr>
        <w:pStyle w:val="Heading2"/>
      </w:pPr>
      <w:r>
        <w:t>FAQ 与构建草稿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src/banking_agent/modules/rag/faqs/</w:t>
        <w:br/>
        <w:t>NovaBank_BANKING77_FAQs_v1_1.md</w:t>
        <w:br/>
        <w:t>src/banking_agent/modules/rag/chunk_sources/</w:t>
        <w:br/>
        <w:t>knowledge_chunk_drafts_v1_1.txt</w:t>
      </w:r>
    </w:p>
    <w:p>
      <w:r>
        <w:rPr>
          <w:b w:val="0"/>
        </w:rPr>
        <w:t>查看客户表达和人工整理的规则内容。</w:t>
      </w:r>
    </w:p>
    <w:p>
      <w:pPr>
        <w:pStyle w:val="Heading2"/>
      </w:pPr>
      <w:r>
        <w:t>生成资源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src/banking_agent/modules/rag/chunks/</w:t>
        <w:br/>
        <w:t>NovaBank_knowledge_chunks_v1_1.jsonl</w:t>
        <w:br/>
        <w:t>NovaBank_faq_chunk_mapping_v1_1.jsonl</w:t>
        <w:br/>
        <w:t>validation_report_v1_1.json</w:t>
      </w:r>
    </w:p>
    <w:p>
      <w:r>
        <w:rPr>
          <w:b w:val="0"/>
        </w:rPr>
        <w:t>查看可加载数据、候选关联及构建检查。</w:t>
      </w:r>
    </w:p>
    <w:p>
      <w:pPr>
        <w:pStyle w:val="Heading2"/>
      </w:pPr>
      <w:r>
        <w:t>质量审阅与回归测试</w:t>
      </w:r>
    </w:p>
    <w:p>
      <w:pPr>
        <w:spacing w:line="252" w:lineRule="auto" w:after="120"/>
      </w:pPr>
      <w:r>
        <w:rPr>
          <w:rFonts w:ascii="Courier New" w:hAnsi="Courier New" w:eastAsia="Hiragino Sans GB"/>
          <w:sz w:val="17"/>
        </w:rPr>
        <w:t>docs/rag/knowledge_quality_review_v1_1.md</w:t>
        <w:br/>
        <w:t>src/banking_agent/modules/rag/quality_reports/</w:t>
        <w:br/>
        <w:t>knowledge_quality_review_v1_1.json</w:t>
        <w:br/>
        <w:t>tests/unit/test_rag_*.py</w:t>
      </w:r>
    </w:p>
    <w:p>
      <w:r>
        <w:rPr>
          <w:b w:val="0"/>
        </w:rPr>
        <w:t>追溯问题修正、候选判断与验证范围。</w:t>
      </w:r>
    </w:p>
    <w:p>
      <w:r>
        <w:rPr>
          <w:b w:val="0"/>
        </w:rPr>
        <w:t>维护时应保留政策分析、引用登记及结构化审阅证据；它们服务于追溯，不应混入客服事实索引。当前 README、脚本和测试中的路径已与整理后的文件夹一致。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NovaBank RAG 项目说明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Arial" w:hAnsi="Arial" w:eastAsia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eastAsia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NovaBank RAG 文件夹与知识处理流程详细说明</dc:title>
  <dc:subject>文件结构 知识来源 切片构建 质量检验 检索实施</dc:subject>
  <dc:creator>NovaBank 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