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sales analysis shows that the </w:t>
      </w:r>
      <w:r w:rsidDel="00000000" w:rsidR="00000000" w:rsidRPr="00000000">
        <w:rPr>
          <w:b w:val="1"/>
          <w:bCs w:val="1"/>
          <w:rtl w:val="0"/>
        </w:rPr>
        <w:t xml:space="preserve">Consumer segment is the largest contributor</w:t>
      </w:r>
      <w:r w:rsidDel="00000000" w:rsidR="00000000" w:rsidRPr="00000000">
        <w:rPr>
          <w:rtl w:val="0"/>
        </w:rPr>
        <w:t xml:space="preserve">, generating about </w:t>
      </w:r>
      <w:r w:rsidDel="00000000" w:rsidR="00000000" w:rsidRPr="00000000">
        <w:rPr>
          <w:b w:val="1"/>
          <w:bCs w:val="1"/>
          <w:rtl w:val="0"/>
        </w:rPr>
        <w:t xml:space="preserve">1.16M</w:t>
      </w:r>
      <w:r w:rsidDel="00000000" w:rsidR="00000000" w:rsidRPr="00000000">
        <w:rPr>
          <w:rtl w:val="0"/>
        </w:rPr>
        <w:t xml:space="preserve"> in sales, followed by </w:t>
      </w:r>
      <w:r w:rsidDel="00000000" w:rsidR="00000000" w:rsidRPr="00000000">
        <w:rPr>
          <w:b w:val="1"/>
          <w:bCs w:val="1"/>
          <w:rtl w:val="0"/>
        </w:rPr>
        <w:t xml:space="preserve">Corporate (0.71M)</w:t>
      </w:r>
      <w:r w:rsidDel="00000000" w:rsidR="00000000" w:rsidRPr="00000000">
        <w:rPr>
          <w:rtl w:val="0"/>
        </w:rPr>
        <w:t xml:space="preserve">, while </w:t>
      </w:r>
      <w:r w:rsidDel="00000000" w:rsidR="00000000" w:rsidRPr="00000000">
        <w:rPr>
          <w:b w:val="1"/>
          <w:bCs w:val="1"/>
          <w:rtl w:val="0"/>
        </w:rPr>
        <w:t xml:space="preserve">Home Office (0.43M)</w:t>
      </w:r>
      <w:r w:rsidDel="00000000" w:rsidR="00000000" w:rsidRPr="00000000">
        <w:rPr>
          <w:rtl w:val="0"/>
        </w:rPr>
        <w:t xml:space="preserve"> contributes the least. This indicates the business is strongly driven by individual customers, while there is clear opportunity to grow revenue through stronger B2B strategies in the corporate segment and targeted offers for the home office segment. Category-wise, </w:t>
      </w:r>
      <w:r w:rsidDel="00000000" w:rsidR="00000000" w:rsidRPr="00000000">
        <w:rPr>
          <w:b w:val="1"/>
          <w:bCs w:val="1"/>
          <w:rtl w:val="0"/>
        </w:rPr>
        <w:t xml:space="preserve">Technology leads sales with 836K</w:t>
      </w:r>
      <w:r w:rsidDel="00000000" w:rsidR="00000000" w:rsidRPr="00000000">
        <w:rPr>
          <w:rtl w:val="0"/>
        </w:rPr>
        <w:t xml:space="preserve">, making it the most important revenue driver, while </w:t>
      </w:r>
      <w:r w:rsidDel="00000000" w:rsidR="00000000" w:rsidRPr="00000000">
        <w:rPr>
          <w:b w:val="1"/>
          <w:bCs w:val="1"/>
          <w:rtl w:val="0"/>
        </w:rPr>
        <w:t xml:space="preserve">Furniture (742K)</w:t>
      </w:r>
      <w:r w:rsidDel="00000000" w:rsidR="00000000" w:rsidRPr="00000000">
        <w:rPr>
          <w:rtl w:val="0"/>
        </w:rPr>
        <w:t xml:space="preserve"> and </w:t>
      </w:r>
      <w:r w:rsidDel="00000000" w:rsidR="00000000" w:rsidRPr="00000000">
        <w:rPr>
          <w:b w:val="1"/>
          <w:bCs w:val="1"/>
          <w:rtl w:val="0"/>
        </w:rPr>
        <w:t xml:space="preserve">Office Supplies (719K)</w:t>
      </w:r>
      <w:r w:rsidDel="00000000" w:rsidR="00000000" w:rsidRPr="00000000">
        <w:rPr>
          <w:rtl w:val="0"/>
        </w:rPr>
        <w:t xml:space="preserve"> remain close competitors, showing relatively balanced demand across these categories. Region-wise performance highlights that the </w:t>
      </w:r>
      <w:r w:rsidDel="00000000" w:rsidR="00000000" w:rsidRPr="00000000">
        <w:rPr>
          <w:b w:val="1"/>
          <w:bCs w:val="1"/>
          <w:rtl w:val="0"/>
        </w:rPr>
        <w:t xml:space="preserve">West region is the highest performing with 725K</w:t>
      </w:r>
      <w:r w:rsidDel="00000000" w:rsidR="00000000" w:rsidRPr="00000000">
        <w:rPr>
          <w:rtl w:val="0"/>
        </w:rPr>
        <w:t xml:space="preserve"> sales, followed by the </w:t>
      </w:r>
      <w:r w:rsidDel="00000000" w:rsidR="00000000" w:rsidRPr="00000000">
        <w:rPr>
          <w:b w:val="1"/>
          <w:bCs w:val="1"/>
          <w:rtl w:val="0"/>
        </w:rPr>
        <w:t xml:space="preserve">East region with 679K</w:t>
      </w:r>
      <w:r w:rsidDel="00000000" w:rsidR="00000000" w:rsidRPr="00000000">
        <w:rPr>
          <w:rtl w:val="0"/>
        </w:rPr>
        <w:t xml:space="preserve">, whereas the </w:t>
      </w:r>
      <w:r w:rsidDel="00000000" w:rsidR="00000000" w:rsidRPr="00000000">
        <w:rPr>
          <w:b w:val="1"/>
          <w:bCs w:val="1"/>
          <w:rtl w:val="0"/>
        </w:rPr>
        <w:t xml:space="preserve">Central region (~501K)</w:t>
      </w:r>
      <w:r w:rsidDel="00000000" w:rsidR="00000000" w:rsidRPr="00000000">
        <w:rPr>
          <w:rtl w:val="0"/>
        </w:rPr>
        <w:t xml:space="preserve"> contributes comparatively less, signaling scope for improvement through stronger marketing, availability, or pricing interventions. The pie chart further supports these results by showing </w:t>
      </w:r>
      <w:r w:rsidDel="00000000" w:rsidR="00000000" w:rsidRPr="00000000">
        <w:rPr>
          <w:b w:val="1"/>
          <w:bCs w:val="1"/>
          <w:rtl w:val="0"/>
        </w:rPr>
        <w:t xml:space="preserve">Technology has the highest sales share (18.2%)</w:t>
      </w:r>
      <w:r w:rsidDel="00000000" w:rsidR="00000000" w:rsidRPr="00000000">
        <w:rPr>
          <w:rtl w:val="0"/>
        </w:rPr>
        <w:t xml:space="preserve">, followed by </w:t>
      </w:r>
      <w:r w:rsidDel="00000000" w:rsidR="00000000" w:rsidRPr="00000000">
        <w:rPr>
          <w:b w:val="1"/>
          <w:bCs w:val="1"/>
          <w:rtl w:val="0"/>
        </w:rPr>
        <w:t xml:space="preserve">Furniture (16.2%)</w:t>
      </w:r>
      <w:r w:rsidDel="00000000" w:rsidR="00000000" w:rsidRPr="00000000">
        <w:rPr>
          <w:rtl w:val="0"/>
        </w:rPr>
        <w:t xml:space="preserve"> and </w:t>
      </w:r>
      <w:r w:rsidDel="00000000" w:rsidR="00000000" w:rsidRPr="00000000">
        <w:rPr>
          <w:b w:val="1"/>
          <w:bCs w:val="1"/>
          <w:rtl w:val="0"/>
        </w:rPr>
        <w:t xml:space="preserve">Office Supplies (15.7%)</w:t>
      </w:r>
      <w:r w:rsidDel="00000000" w:rsidR="00000000" w:rsidRPr="00000000">
        <w:rPr>
          <w:rtl w:val="0"/>
        </w:rPr>
        <w:t xml:space="preserve">, confirming that while Technology dominates, the overall sales are </w:t>
      </w:r>
      <w:r w:rsidDel="00000000" w:rsidR="00000000" w:rsidRPr="00000000">
        <w:rPr>
          <w:b w:val="1"/>
          <w:bCs w:val="1"/>
          <w:rtl w:val="0"/>
        </w:rPr>
        <w:t xml:space="preserve">well diversified</w:t>
      </w:r>
      <w:r w:rsidDel="00000000" w:rsidR="00000000" w:rsidRPr="00000000">
        <w:rPr>
          <w:rtl w:val="0"/>
        </w:rPr>
        <w:t xml:space="preserve">, ensuring stability and reducing dependency on a single category.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