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E6B4F"/>
          <w:spacing w:val="40"/>
          <w:sz w:val="30"/>
          <w:szCs w:val="30"/>
        </w:rPr>
        <w:t xml:space="preserve">CHAOS INCORPORATED</w:t>
      </w:r>
    </w:p>
    <w:p>
      <w:pPr>
        <w:spacing w:before="100"/>
        <w:jc w:val="center"/>
      </w:pPr>
      <w:r>
        <w:rPr>
          <w:i/>
          <w:iCs/>
          <w:color w:val="666666"/>
          <w:sz w:val="20"/>
          <w:szCs w:val="20"/>
        </w:rPr>
        <w:t xml:space="preserve">Design System for Renn</w:t>
      </w:r>
    </w:p>
    <w:p>
      <w:pPr>
        <w:spacing w:before="800"/>
        <w:jc w:val="center"/>
      </w:pPr>
      <w:r>
        <w:rPr>
          <w:b/>
          <w:bCs/>
          <w:color w:val="1F2D3D"/>
          <w:sz w:val="56"/>
          <w:szCs w:val="56"/>
        </w:rPr>
        <w:t xml:space="preserve">STARLINK ONE</w:t>
      </w:r>
    </w:p>
    <w:p>
      <w:pPr>
        <w:spacing w:before="100"/>
        <w:jc w:val="center"/>
      </w:pPr>
      <w:r>
        <w:rPr>
          <w:color w:val="1F2D3D"/>
          <w:sz w:val="26"/>
          <w:szCs w:val="26"/>
        </w:rPr>
        <w:t xml:space="preserve">Technical Design &amp; Manufacturing Package</w:t>
      </w:r>
    </w:p>
    <w:p>
      <w:pPr>
        <w:spacing w:before="60"/>
        <w:jc w:val="center"/>
      </w:pPr>
      <w:r>
        <w:rPr>
          <w:i/>
          <w:iCs/>
          <w:color w:val="555555"/>
          <w:sz w:val="20"/>
          <w:szCs w:val="20"/>
        </w:rPr>
        <w:t xml:space="preserve">Heart-Cut Emerald Ring · Sterling Silver · Chain-Link Motif</w:t>
      </w:r>
    </w:p>
    <w:p>
      <w:pPr>
        <w:spacing w:before="1200"/>
        <w:jc w:val="center"/>
      </w:pPr>
      <w:r>
        <w:rPr>
          <w:color w:val="444444"/>
          <w:sz w:val="18"/>
          <w:szCs w:val="18"/>
        </w:rPr>
        <w:t xml:space="preserve">Document Type: Full Technical Specification, Tech Pack, Manufacturing Brief (EN/中文), CAD Requirements &amp; QC Checklist</w:t>
      </w:r>
    </w:p>
    <w:p>
      <w:pPr>
        <w:spacing w:before="40"/>
        <w:jc w:val="center"/>
      </w:pPr>
      <w:r>
        <w:rPr>
          <w:b/>
          <w:bCs/>
          <w:color w:val="8A1C1C"/>
          <w:sz w:val="18"/>
          <w:szCs w:val="18"/>
        </w:rPr>
        <w:t xml:space="preserve">Revision: 1.0 (Draft — Chain-Link Motif Pending Reference Images)</w:t>
      </w:r>
    </w:p>
    <w:p>
      <w:pPr>
        <w:spacing w:before="40"/>
        <w:jc w:val="center"/>
      </w:pPr>
      <w:r>
        <w:rPr>
          <w:color w:val="444444"/>
          <w:sz w:val="18"/>
          <w:szCs w:val="18"/>
        </w:rPr>
        <w:t xml:space="preserve">Date: 14 July 2026</w:t>
      </w:r>
    </w:p>
    <w:p>
      <w:pPr>
        <w:spacing w:before="40"/>
        <w:jc w:val="center"/>
      </w:pPr>
      <w:r>
        <w:rPr>
          <w:color w:val="444444"/>
          <w:sz w:val="18"/>
          <w:szCs w:val="18"/>
        </w:rPr>
        <w:t xml:space="preserve">Prepared by: Technical Design — Chaos Incorporated</w:t>
      </w:r>
    </w:p>
    <w:p>
      <w:r>
        <w:br w:type="page"/>
      </w:r>
    </w:p>
    <w:p>
      <w:pPr>
        <w:pStyle w:val="Heading1"/>
        <w:pBdr>
          <w:bottom w:val="single" w:color="2E6B4F" w:sz="8" w:space="4"/>
        </w:pBdr>
        <w:spacing w:after="200" w:before="400"/>
      </w:pPr>
      <w:r>
        <w:rPr>
          <w:b/>
          <w:bCs/>
          <w:color w:val="1F2D3D"/>
          <w:sz w:val="30"/>
          <w:szCs w:val="30"/>
        </w:rPr>
        <w:t xml:space="preserve">1. Project Overview</w:t>
      </w:r>
    </w:p>
    <w:p>
      <w:pPr>
        <w:spacing w:after="120"/>
      </w:pPr>
      <w:r>
        <w:rPr>
          <w:sz w:val="20"/>
          <w:szCs w:val="20"/>
        </w:rPr>
        <w:t xml:space="preserve">Starlink One is a signature engagement/statement ring in the Renn design system: a heart-shaped natural emerald center stone in a secure 4-prong setting, flanked by a chain-link / infinity motif on both shoulders, executed in full 925 sterling silver with an initial high-polish finish that is intentionally left unprotected to allow natural tarnish and patina to develop with wear.</w:t>
      </w:r>
    </w:p>
    <w:p>
      <w:pPr>
        <w:pStyle w:val="Heading3"/>
        <w:spacing w:after="100" w:before="200"/>
      </w:pPr>
      <w:r>
        <w:rPr>
          <w:b/>
          <w:bCs/>
          <w:color w:val="2E6B4F"/>
          <w:sz w:val="21"/>
          <w:szCs w:val="21"/>
        </w:rPr>
        <w:t xml:space="preserve">1.1 Design Intent</w:t>
      </w:r>
    </w:p>
    <w:p>
      <w:pPr>
        <w:pStyle w:val="ListParagraph"/>
        <w:numPr>
          <w:ilvl w:val="0"/>
          <w:numId w:val="2"/>
        </w:numPr>
        <w:spacing w:after="60"/>
      </w:pPr>
      <w:r>
        <w:rPr>
          <w:sz w:val="20"/>
          <w:szCs w:val="20"/>
        </w:rPr>
        <w:t xml:space="preserve">Center stone reads as the visual anchor: vivid green, brilliant-faceted heart, set high enough to catch light from the side without being fragile.</w:t>
      </w:r>
    </w:p>
    <w:p>
      <w:pPr>
        <w:pStyle w:val="ListParagraph"/>
        <w:numPr>
          <w:ilvl w:val="0"/>
          <w:numId w:val="2"/>
        </w:numPr>
        <w:spacing w:after="60"/>
      </w:pPr>
      <w:r>
        <w:rPr>
          <w:sz w:val="20"/>
          <w:szCs w:val="20"/>
        </w:rPr>
        <w:t xml:space="preserve">Chain-link/infinity motif on the shoulders is the signature element of the piece — it must be treated as a precision-matched pair (mirrored left/right), not a generic decorative filler.</w:t>
      </w:r>
    </w:p>
    <w:p>
      <w:pPr>
        <w:pStyle w:val="ListParagraph"/>
        <w:numPr>
          <w:ilvl w:val="0"/>
          <w:numId w:val="2"/>
        </w:numPr>
        <w:spacing w:after="60"/>
      </w:pPr>
      <w:r>
        <w:rPr>
          <w:sz w:val="20"/>
          <w:szCs w:val="20"/>
        </w:rPr>
        <w:t xml:space="preserve">Finish is deliberately "alive": no rhodium, no anti-tarnish lacquer. The metal is expected to oxidize and patina over time — this is a design feature, not a defect, and must be communicated to the factory so it is not treated as a QC failure.</w:t>
      </w:r>
    </w:p>
    <w:p>
      <w:pPr>
        <w:pStyle w:val="Heading3"/>
        <w:spacing w:after="100" w:before="200"/>
      </w:pPr>
      <w:r>
        <w:rPr>
          <w:b/>
          <w:bCs/>
          <w:color w:val="2E6B4F"/>
          <w:sz w:val="21"/>
          <w:szCs w:val="21"/>
        </w:rPr>
        <w:t xml:space="preserve">1.2 Governing Source of Truth</w:t>
      </w:r>
    </w:p>
    <w:p>
      <w:pPr>
        <w:spacing w:after="120"/>
      </w:pPr>
      <w:r>
        <w:rPr>
          <w:sz w:val="20"/>
          <w:szCs w:val="20"/>
        </w:rPr>
        <w:t xml:space="preserve">Four client reference images define the exact chain-link/infinity geometry and are the single source of truth for that motif. This package was generated before those images were available in this session — Section 6 (Chain-Link / Infinity Motif Specification) is structured as a fill-in template pending upload, and CAD/manufacturing work on the motif should not proceed to tooling until Section 6 is finalized against the reference images.</w:t>
      </w:r>
    </w:p>
    <w:p>
      <w:pPr>
        <w:pStyle w:val="Heading1"/>
        <w:pBdr>
          <w:bottom w:val="single" w:color="2E6B4F" w:sz="8" w:space="4"/>
        </w:pBdr>
        <w:spacing w:after="200" w:before="400"/>
      </w:pPr>
      <w:r>
        <w:rPr>
          <w:b/>
          <w:bCs/>
          <w:color w:val="1F2D3D"/>
          <w:sz w:val="30"/>
          <w:szCs w:val="30"/>
        </w:rPr>
        <w:t xml:space="preserve">2.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shd w:fill="1F2D3D" w:val="clear"/>
            <w:tcMar>
              <w:top w:type="dxa" w:w="80"/>
              <w:left w:type="dxa" w:w="100"/>
              <w:bottom w:type="dxa" w:w="80"/>
              <w:right w:type="dxa" w:w="100"/>
            </w:tcMar>
            <w:vAlign w:val="center"/>
          </w:tcPr>
          <w:p>
            <w:pPr>
              <w:jc w:val="left"/>
            </w:pPr>
            <w:r>
              <w:rPr>
                <w:b/>
                <w:bCs/>
                <w:color w:val="FFFFFF"/>
                <w:sz w:val="18"/>
                <w:szCs w:val="18"/>
              </w:rPr>
              <w:t xml:space="preserve">Parameter</w:t>
            </w:r>
          </w:p>
        </w:tc>
        <w:tc>
          <w:tcPr>
            <w:tcW w:type="dxa" w:w="4400"/>
            <w:shd w:fill="1F2D3D" w:val="clear"/>
            <w:tcMar>
              <w:top w:type="dxa" w:w="80"/>
              <w:left w:type="dxa" w:w="100"/>
              <w:bottom w:type="dxa" w:w="80"/>
              <w:right w:type="dxa" w:w="100"/>
            </w:tcMar>
            <w:vAlign w:val="center"/>
          </w:tcPr>
          <w:p>
            <w:pPr>
              <w:jc w:val="left"/>
            </w:pPr>
            <w:r>
              <w:rPr>
                <w:b/>
                <w:bCs/>
                <w:color w:val="FFFFFF"/>
                <w:sz w:val="18"/>
                <w:szCs w:val="18"/>
              </w:rPr>
              <w:t xml:space="preserve">Specification</w:t>
            </w:r>
          </w:p>
        </w:tc>
        <w:tc>
          <w:tcPr>
            <w:tcW w:type="dxa" w:w="1760"/>
            <w:shd w:fill="1F2D3D" w:val="clear"/>
            <w:tcMar>
              <w:top w:type="dxa" w:w="80"/>
              <w:left w:type="dxa" w:w="100"/>
              <w:bottom w:type="dxa" w:w="80"/>
              <w:right w:type="dxa" w:w="100"/>
            </w:tcMar>
            <w:vAlign w:val="center"/>
          </w:tcPr>
          <w:p>
            <w:pPr>
              <w:jc w:val="left"/>
            </w:pPr>
            <w:r>
              <w:rPr>
                <w:b/>
                <w:bCs/>
                <w:color w:val="FFFFFF"/>
                <w:sz w:val="18"/>
                <w:szCs w:val="18"/>
              </w:rPr>
              <w:t xml:space="preserve">Tolerance</w:t>
            </w:r>
          </w:p>
        </w:tc>
      </w:tr>
      <w:tr>
        <w:tc>
          <w:tcPr>
            <w:tcW w:type="dxa" w:w="32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Ring size</w:t>
            </w:r>
          </w:p>
        </w:tc>
        <w:tc>
          <w:tcPr>
            <w:tcW w:type="dxa" w:w="4400"/>
            <w:tcMar>
              <w:top w:type="dxa" w:w="80"/>
              <w:left w:type="dxa" w:w="100"/>
              <w:bottom w:type="dxa" w:w="80"/>
              <w:right w:type="dxa" w:w="100"/>
            </w:tcMar>
            <w:vAlign w:val="center"/>
          </w:tcPr>
          <w:p>
            <w:pPr>
              <w:jc w:val="left"/>
            </w:pPr>
            <w:r>
              <w:rPr>
                <w:b w:val="false"/>
                <w:bCs w:val="false"/>
                <w:color w:val="222222"/>
                <w:sz w:val="18"/>
                <w:szCs w:val="18"/>
              </w:rPr>
              <w:t xml:space="preserve">US 7 — inner diameter 17.3 mm</w:t>
            </w:r>
          </w:p>
        </w:tc>
        <w:tc>
          <w:tcPr>
            <w:tcW w:type="dxa" w:w="1760"/>
            <w:tcMar>
              <w:top w:type="dxa" w:w="80"/>
              <w:left w:type="dxa" w:w="100"/>
              <w:bottom w:type="dxa" w:w="80"/>
              <w:right w:type="dxa" w:w="100"/>
            </w:tcMar>
            <w:vAlign w:val="center"/>
          </w:tcPr>
          <w:p>
            <w:pPr>
              <w:jc w:val="left"/>
            </w:pPr>
            <w:r>
              <w:rPr>
                <w:b w:val="false"/>
                <w:bCs w:val="false"/>
                <w:color w:val="222222"/>
                <w:sz w:val="18"/>
                <w:szCs w:val="18"/>
              </w:rPr>
              <w:t xml:space="preserve">±0.1 mm</w:t>
            </w:r>
          </w:p>
        </w:tc>
      </w:tr>
      <w:tr>
        <w:tc>
          <w:tcPr>
            <w:tcW w:type="dxa" w:w="32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Inner circumference (derived)</w:t>
            </w:r>
          </w:p>
        </w:tc>
        <w:tc>
          <w:tcPr>
            <w:tcW w:type="dxa" w:w="4400"/>
            <w:tcMar>
              <w:top w:type="dxa" w:w="80"/>
              <w:left w:type="dxa" w:w="100"/>
              <w:bottom w:type="dxa" w:w="80"/>
              <w:right w:type="dxa" w:w="100"/>
            </w:tcMar>
            <w:vAlign w:val="center"/>
          </w:tcPr>
          <w:p>
            <w:pPr>
              <w:jc w:val="left"/>
            </w:pPr>
            <w:r>
              <w:rPr>
                <w:b w:val="false"/>
                <w:bCs w:val="false"/>
                <w:color w:val="222222"/>
                <w:sz w:val="18"/>
                <w:szCs w:val="18"/>
              </w:rPr>
              <w:t xml:space="preserve">54.35 mm (π × 17.3 mm)</w:t>
            </w:r>
          </w:p>
        </w:tc>
        <w:tc>
          <w:tcPr>
            <w:tcW w:type="dxa" w:w="1760"/>
            <w:tcMar>
              <w:top w:type="dxa" w:w="80"/>
              <w:left w:type="dxa" w:w="100"/>
              <w:bottom w:type="dxa" w:w="80"/>
              <w:right w:type="dxa" w:w="100"/>
            </w:tcMar>
            <w:vAlign w:val="center"/>
          </w:tcPr>
          <w:p>
            <w:pPr>
              <w:jc w:val="left"/>
            </w:pPr>
            <w:r>
              <w:rPr>
                <w:b w:val="false"/>
                <w:bCs w:val="false"/>
                <w:color w:val="222222"/>
                <w:sz w:val="18"/>
                <w:szCs w:val="18"/>
              </w:rPr>
              <w:t xml:space="preserve">±0.3 mm</w:t>
            </w:r>
          </w:p>
        </w:tc>
      </w:tr>
      <w:tr>
        <w:tc>
          <w:tcPr>
            <w:tcW w:type="dxa" w:w="32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Base material</w:t>
            </w:r>
          </w:p>
        </w:tc>
        <w:tc>
          <w:tcPr>
            <w:tcW w:type="dxa" w:w="4400"/>
            <w:tcMar>
              <w:top w:type="dxa" w:w="80"/>
              <w:left w:type="dxa" w:w="100"/>
              <w:bottom w:type="dxa" w:w="80"/>
              <w:right w:type="dxa" w:w="100"/>
            </w:tcMar>
            <w:vAlign w:val="center"/>
          </w:tcPr>
          <w:p>
            <w:pPr>
              <w:jc w:val="left"/>
            </w:pPr>
            <w:r>
              <w:rPr>
                <w:b w:val="false"/>
                <w:bCs w:val="false"/>
                <w:color w:val="222222"/>
                <w:sz w:val="18"/>
                <w:szCs w:val="18"/>
              </w:rPr>
              <w:t xml:space="preserve">925 Sterling Silver (92.5% Ag / 7.5% Cu alloy)</w:t>
            </w:r>
          </w:p>
        </w:tc>
        <w:tc>
          <w:tcPr>
            <w:tcW w:type="dxa" w:w="1760"/>
            <w:tcMar>
              <w:top w:type="dxa" w:w="80"/>
              <w:left w:type="dxa" w:w="100"/>
              <w:bottom w:type="dxa" w:w="80"/>
              <w:right w:type="dxa" w:w="100"/>
            </w:tcMar>
            <w:vAlign w:val="center"/>
          </w:tcPr>
          <w:p>
            <w:pPr>
              <w:jc w:val="left"/>
            </w:pPr>
            <w:r>
              <w:rPr>
                <w:b w:val="false"/>
                <w:bCs w:val="false"/>
                <w:color w:val="222222"/>
                <w:sz w:val="18"/>
                <w:szCs w:val="18"/>
              </w:rPr>
              <w:t xml:space="preserve">Assay ≥92.5% Ag</w:t>
            </w:r>
          </w:p>
        </w:tc>
      </w:tr>
      <w:tr>
        <w:tc>
          <w:tcPr>
            <w:tcW w:type="dxa" w:w="32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Plating / coating</w:t>
            </w:r>
          </w:p>
        </w:tc>
        <w:tc>
          <w:tcPr>
            <w:tcW w:type="dxa" w:w="4400"/>
            <w:tcMar>
              <w:top w:type="dxa" w:w="80"/>
              <w:left w:type="dxa" w:w="100"/>
              <w:bottom w:type="dxa" w:w="80"/>
              <w:right w:type="dxa" w:w="100"/>
            </w:tcMar>
            <w:vAlign w:val="center"/>
          </w:tcPr>
          <w:p>
            <w:pPr>
              <w:jc w:val="left"/>
            </w:pPr>
            <w:r>
              <w:rPr>
                <w:b w:val="false"/>
                <w:bCs w:val="false"/>
                <w:color w:val="222222"/>
                <w:sz w:val="18"/>
                <w:szCs w:val="18"/>
              </w:rPr>
              <w:t xml:space="preserve">None — bare polished silver, patina intended</w:t>
            </w:r>
          </w:p>
        </w:tc>
        <w:tc>
          <w:tcPr>
            <w:tcW w:type="dxa" w:w="1760"/>
            <w:tcMar>
              <w:top w:type="dxa" w:w="80"/>
              <w:left w:type="dxa" w:w="100"/>
              <w:bottom w:type="dxa" w:w="80"/>
              <w:right w:type="dxa" w:w="100"/>
            </w:tcMar>
            <w:vAlign w:val="center"/>
          </w:tcPr>
          <w:p>
            <w:pPr>
              <w:jc w:val="left"/>
            </w:pPr>
            <w:r>
              <w:rPr>
                <w:b w:val="false"/>
                <w:bCs w:val="false"/>
                <w:color w:val="222222"/>
                <w:sz w:val="18"/>
                <w:szCs w:val="18"/>
              </w:rPr>
              <w:t xml:space="preserve">N/A</w:t>
            </w:r>
          </w:p>
        </w:tc>
      </w:tr>
      <w:tr>
        <w:tc>
          <w:tcPr>
            <w:tcW w:type="dxa" w:w="32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Center stone</w:t>
            </w:r>
          </w:p>
        </w:tc>
        <w:tc>
          <w:tcPr>
            <w:tcW w:type="dxa" w:w="4400"/>
            <w:tcMar>
              <w:top w:type="dxa" w:w="80"/>
              <w:left w:type="dxa" w:w="100"/>
              <w:bottom w:type="dxa" w:w="80"/>
              <w:right w:type="dxa" w:w="100"/>
            </w:tcMar>
            <w:vAlign w:val="center"/>
          </w:tcPr>
          <w:p>
            <w:pPr>
              <w:jc w:val="left"/>
            </w:pPr>
            <w:r>
              <w:rPr>
                <w:b w:val="false"/>
                <w:bCs w:val="false"/>
                <w:color w:val="222222"/>
                <w:sz w:val="18"/>
                <w:szCs w:val="18"/>
              </w:rPr>
              <w:t xml:space="preserve">Natural emerald, heart shape, brilliant cut, vivid green</w:t>
            </w:r>
          </w:p>
        </w:tc>
        <w:tc>
          <w:tcPr>
            <w:tcW w:type="dxa" w:w="1760"/>
            <w:tcMar>
              <w:top w:type="dxa" w:w="80"/>
              <w:left w:type="dxa" w:w="100"/>
              <w:bottom w:type="dxa" w:w="80"/>
              <w:right w:type="dxa" w:w="100"/>
            </w:tcMar>
            <w:vAlign w:val="center"/>
          </w:tcPr>
          <w:p>
            <w:pPr>
              <w:jc w:val="left"/>
            </w:pPr>
            <w:r>
              <w:rPr>
                <w:b w:val="false"/>
                <w:bCs w:val="false"/>
                <w:color w:val="222222"/>
                <w:sz w:val="18"/>
                <w:szCs w:val="18"/>
              </w:rPr>
              <w:t xml:space="preserve">See Section 4</w:t>
            </w:r>
          </w:p>
        </w:tc>
      </w:tr>
      <w:tr>
        <w:tc>
          <w:tcPr>
            <w:tcW w:type="dxa" w:w="32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Center stone size</w:t>
            </w:r>
          </w:p>
        </w:tc>
        <w:tc>
          <w:tcPr>
            <w:tcW w:type="dxa" w:w="4400"/>
            <w:tcMar>
              <w:top w:type="dxa" w:w="80"/>
              <w:left w:type="dxa" w:w="100"/>
              <w:bottom w:type="dxa" w:w="80"/>
              <w:right w:type="dxa" w:w="100"/>
            </w:tcMar>
            <w:vAlign w:val="center"/>
          </w:tcPr>
          <w:p>
            <w:pPr>
              <w:jc w:val="left"/>
            </w:pPr>
            <w:r>
              <w:rPr>
                <w:b w:val="false"/>
                <w:bCs w:val="false"/>
                <w:color w:val="222222"/>
                <w:sz w:val="18"/>
                <w:szCs w:val="18"/>
              </w:rPr>
              <w:t xml:space="preserve">8.0–9.0 mm (length ≈ width)</w:t>
            </w:r>
          </w:p>
        </w:tc>
        <w:tc>
          <w:tcPr>
            <w:tcW w:type="dxa" w:w="1760"/>
            <w:tcMar>
              <w:top w:type="dxa" w:w="80"/>
              <w:left w:type="dxa" w:w="100"/>
              <w:bottom w:type="dxa" w:w="80"/>
              <w:right w:type="dxa" w:w="100"/>
            </w:tcMar>
            <w:vAlign w:val="center"/>
          </w:tcPr>
          <w:p>
            <w:pPr>
              <w:jc w:val="left"/>
            </w:pPr>
            <w:r>
              <w:rPr>
                <w:b w:val="false"/>
                <w:bCs w:val="false"/>
                <w:color w:val="222222"/>
                <w:sz w:val="18"/>
                <w:szCs w:val="18"/>
              </w:rPr>
              <w:t xml:space="preserve">±0.2 mm</w:t>
            </w:r>
          </w:p>
        </w:tc>
      </w:tr>
      <w:tr>
        <w:tc>
          <w:tcPr>
            <w:tcW w:type="dxa" w:w="32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Setting type</w:t>
            </w:r>
          </w:p>
        </w:tc>
        <w:tc>
          <w:tcPr>
            <w:tcW w:type="dxa" w:w="4400"/>
            <w:tcMar>
              <w:top w:type="dxa" w:w="80"/>
              <w:left w:type="dxa" w:w="100"/>
              <w:bottom w:type="dxa" w:w="80"/>
              <w:right w:type="dxa" w:w="100"/>
            </w:tcMar>
            <w:vAlign w:val="center"/>
          </w:tcPr>
          <w:p>
            <w:pPr>
              <w:jc w:val="left"/>
            </w:pPr>
            <w:r>
              <w:rPr>
                <w:b w:val="false"/>
                <w:bCs w:val="false"/>
                <w:color w:val="222222"/>
                <w:sz w:val="18"/>
                <w:szCs w:val="18"/>
              </w:rPr>
              <w:t xml:space="preserve">4-prong, open gallery</w:t>
            </w:r>
          </w:p>
        </w:tc>
        <w:tc>
          <w:tcPr>
            <w:tcW w:type="dxa" w:w="1760"/>
            <w:tcMar>
              <w:top w:type="dxa" w:w="80"/>
              <w:left w:type="dxa" w:w="100"/>
              <w:bottom w:type="dxa" w:w="80"/>
              <w:right w:type="dxa" w:w="100"/>
            </w:tcMar>
            <w:vAlign w:val="center"/>
          </w:tcPr>
          <w:p>
            <w:pPr>
              <w:jc w:val="left"/>
            </w:pPr>
            <w:r>
              <w:rPr>
                <w:b w:val="false"/>
                <w:bCs w:val="false"/>
                <w:color w:val="222222"/>
                <w:sz w:val="18"/>
                <w:szCs w:val="18"/>
              </w:rPr>
              <w:t xml:space="preserve">See Section 5</w:t>
            </w:r>
          </w:p>
        </w:tc>
      </w:tr>
      <w:tr>
        <w:tc>
          <w:tcPr>
            <w:tcW w:type="dxa" w:w="32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Signature motif</w:t>
            </w:r>
          </w:p>
        </w:tc>
        <w:tc>
          <w:tcPr>
            <w:tcW w:type="dxa" w:w="4400"/>
            <w:tcMar>
              <w:top w:type="dxa" w:w="80"/>
              <w:left w:type="dxa" w:w="100"/>
              <w:bottom w:type="dxa" w:w="80"/>
              <w:right w:type="dxa" w:w="100"/>
            </w:tcMar>
            <w:vAlign w:val="center"/>
          </w:tcPr>
          <w:p>
            <w:pPr>
              <w:jc w:val="left"/>
            </w:pPr>
            <w:r>
              <w:rPr>
                <w:b w:val="false"/>
                <w:bCs w:val="false"/>
                <w:color w:val="222222"/>
                <w:sz w:val="18"/>
                <w:szCs w:val="18"/>
              </w:rPr>
              <w:t xml:space="preserve">Chain-link / infinity, both shoulders, mirrored</w:t>
            </w:r>
          </w:p>
        </w:tc>
        <w:tc>
          <w:tcPr>
            <w:tcW w:type="dxa" w:w="1760"/>
            <w:tcMar>
              <w:top w:type="dxa" w:w="80"/>
              <w:left w:type="dxa" w:w="100"/>
              <w:bottom w:type="dxa" w:w="80"/>
              <w:right w:type="dxa" w:w="100"/>
            </w:tcMar>
            <w:vAlign w:val="center"/>
          </w:tcPr>
          <w:p>
            <w:pPr>
              <w:jc w:val="left"/>
            </w:pPr>
            <w:r>
              <w:rPr>
                <w:b w:val="false"/>
                <w:bCs w:val="false"/>
                <w:color w:val="222222"/>
                <w:sz w:val="18"/>
                <w:szCs w:val="18"/>
              </w:rPr>
              <w:t xml:space="preserve">See Section 6</w:t>
            </w:r>
          </w:p>
        </w:tc>
      </w:tr>
      <w:tr>
        <w:tc>
          <w:tcPr>
            <w:tcW w:type="dxa" w:w="32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Finish</w:t>
            </w:r>
          </w:p>
        </w:tc>
        <w:tc>
          <w:tcPr>
            <w:tcW w:type="dxa" w:w="4400"/>
            <w:tcMar>
              <w:top w:type="dxa" w:w="80"/>
              <w:left w:type="dxa" w:w="100"/>
              <w:bottom w:type="dxa" w:w="80"/>
              <w:right w:type="dxa" w:w="100"/>
            </w:tcMar>
            <w:vAlign w:val="center"/>
          </w:tcPr>
          <w:p>
            <w:pPr>
              <w:jc w:val="left"/>
            </w:pPr>
            <w:r>
              <w:rPr>
                <w:b w:val="false"/>
                <w:bCs w:val="false"/>
                <w:color w:val="222222"/>
                <w:sz w:val="18"/>
                <w:szCs w:val="18"/>
              </w:rPr>
              <w:t xml:space="preserve">High polish (mirror), hand-buffed, no matte zones</w:t>
            </w:r>
          </w:p>
        </w:tc>
        <w:tc>
          <w:tcPr>
            <w:tcW w:type="dxa" w:w="1760"/>
            <w:tcMar>
              <w:top w:type="dxa" w:w="80"/>
              <w:left w:type="dxa" w:w="100"/>
              <w:bottom w:type="dxa" w:w="80"/>
              <w:right w:type="dxa" w:w="100"/>
            </w:tcMar>
            <w:vAlign w:val="center"/>
          </w:tcPr>
          <w:p>
            <w:pPr>
              <w:jc w:val="left"/>
            </w:pPr>
            <w:r>
              <w:rPr>
                <w:b w:val="false"/>
                <w:bCs w:val="false"/>
                <w:color w:val="222222"/>
                <w:sz w:val="18"/>
                <w:szCs w:val="18"/>
              </w:rPr>
              <w:t xml:space="preserve">Class-A jewelry polish</w:t>
            </w:r>
          </w:p>
        </w:tc>
      </w:tr>
      <w:tr>
        <w:tc>
          <w:tcPr>
            <w:tcW w:type="dxa" w:w="32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Hallmark</w:t>
            </w:r>
          </w:p>
        </w:tc>
        <w:tc>
          <w:tcPr>
            <w:tcW w:type="dxa" w:w="4400"/>
            <w:tcMar>
              <w:top w:type="dxa" w:w="80"/>
              <w:left w:type="dxa" w:w="100"/>
              <w:bottom w:type="dxa" w:w="80"/>
              <w:right w:type="dxa" w:w="100"/>
            </w:tcMar>
            <w:vAlign w:val="center"/>
          </w:tcPr>
          <w:p>
            <w:pPr>
              <w:jc w:val="left"/>
            </w:pPr>
            <w:r>
              <w:rPr>
                <w:b w:val="false"/>
                <w:bCs w:val="false"/>
                <w:color w:val="222222"/>
                <w:sz w:val="18"/>
                <w:szCs w:val="18"/>
              </w:rPr>
              <w:t xml:space="preserve">"925" stamp + Chaos Incorporated maker's mark, interior shank</w:t>
            </w:r>
          </w:p>
        </w:tc>
        <w:tc>
          <w:tcPr>
            <w:tcW w:type="dxa" w:w="1760"/>
            <w:tcMar>
              <w:top w:type="dxa" w:w="80"/>
              <w:left w:type="dxa" w:w="100"/>
              <w:bottom w:type="dxa" w:w="80"/>
              <w:right w:type="dxa" w:w="100"/>
            </w:tcMar>
            <w:vAlign w:val="center"/>
          </w:tcPr>
          <w:p>
            <w:pPr>
              <w:jc w:val="left"/>
            </w:pPr>
            <w:r>
              <w:rPr>
                <w:b w:val="false"/>
                <w:bCs w:val="false"/>
                <w:color w:val="222222"/>
                <w:sz w:val="18"/>
                <w:szCs w:val="18"/>
              </w:rPr>
              <w:t xml:space="preserve">Legible at 10x</w:t>
            </w:r>
          </w:p>
        </w:tc>
      </w:tr>
    </w:tbl>
    <w:p>
      <w:pPr>
        <w:spacing w:before="200"/>
      </w:pPr>
    </w:p>
    <w:p>
      <w:pPr>
        <w:pStyle w:val="Heading1"/>
        <w:pBdr>
          <w:bottom w:val="single" w:color="2E6B4F" w:sz="8" w:space="4"/>
        </w:pBdr>
        <w:spacing w:after="200" w:before="400"/>
      </w:pPr>
      <w:r>
        <w:rPr>
          <w:b/>
          <w:bCs/>
          <w:color w:val="1F2D3D"/>
          <w:sz w:val="30"/>
          <w:szCs w:val="30"/>
        </w:rPr>
        <w:t xml:space="preserve">3. Detailed Tech Pack</w:t>
      </w:r>
    </w:p>
    <w:p>
      <w:pPr>
        <w:spacing w:after="120"/>
      </w:pPr>
      <w:r>
        <w:rPr>
          <w:sz w:val="20"/>
          <w:szCs w:val="20"/>
        </w:rPr>
        <w:t xml:space="preserve">All dimensions below are measured on the physical horizontal/vertical axes of the ring as worn (shank on finger, stone facing up). Values marked "Notes" carry construction intent so the factory does not need to infer designer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c>
          <w:tcPr>
            <w:tcW w:type="dxa" w:w="2800"/>
            <w:shd w:fill="1F2D3D" w:val="clear"/>
            <w:tcMar>
              <w:top w:type="dxa" w:w="80"/>
              <w:left w:type="dxa" w:w="100"/>
              <w:bottom w:type="dxa" w:w="80"/>
              <w:right w:type="dxa" w:w="100"/>
            </w:tcMar>
            <w:vAlign w:val="center"/>
          </w:tcPr>
          <w:p>
            <w:pPr>
              <w:jc w:val="left"/>
            </w:pPr>
            <w:r>
              <w:rPr>
                <w:b/>
                <w:bCs/>
                <w:color w:val="FFFFFF"/>
                <w:sz w:val="18"/>
                <w:szCs w:val="18"/>
              </w:rPr>
              <w:t xml:space="preserve">Dimension</w:t>
            </w:r>
          </w:p>
        </w:tc>
        <w:tc>
          <w:tcPr>
            <w:tcW w:type="dxa" w:w="1600"/>
            <w:shd w:fill="1F2D3D" w:val="clear"/>
            <w:tcMar>
              <w:top w:type="dxa" w:w="80"/>
              <w:left w:type="dxa" w:w="100"/>
              <w:bottom w:type="dxa" w:w="80"/>
              <w:right w:type="dxa" w:w="100"/>
            </w:tcMar>
            <w:vAlign w:val="center"/>
          </w:tcPr>
          <w:p>
            <w:pPr>
              <w:jc w:val="left"/>
            </w:pPr>
            <w:r>
              <w:rPr>
                <w:b/>
                <w:bCs/>
                <w:color w:val="FFFFFF"/>
                <w:sz w:val="18"/>
                <w:szCs w:val="18"/>
              </w:rPr>
              <w:t xml:space="preserve">Value</w:t>
            </w:r>
          </w:p>
        </w:tc>
        <w:tc>
          <w:tcPr>
            <w:tcW w:type="dxa" w:w="1400"/>
            <w:shd w:fill="1F2D3D" w:val="clear"/>
            <w:tcMar>
              <w:top w:type="dxa" w:w="80"/>
              <w:left w:type="dxa" w:w="100"/>
              <w:bottom w:type="dxa" w:w="80"/>
              <w:right w:type="dxa" w:w="100"/>
            </w:tcMar>
            <w:vAlign w:val="center"/>
          </w:tcPr>
          <w:p>
            <w:pPr>
              <w:jc w:val="left"/>
            </w:pPr>
            <w:r>
              <w:rPr>
                <w:b/>
                <w:bCs/>
                <w:color w:val="FFFFFF"/>
                <w:sz w:val="18"/>
                <w:szCs w:val="18"/>
              </w:rPr>
              <w:t xml:space="preserve">Tolerance</w:t>
            </w:r>
          </w:p>
        </w:tc>
        <w:tc>
          <w:tcPr>
            <w:tcW w:type="dxa" w:w="3560"/>
            <w:shd w:fill="1F2D3D" w:val="clear"/>
            <w:tcMar>
              <w:top w:type="dxa" w:w="80"/>
              <w:left w:type="dxa" w:w="100"/>
              <w:bottom w:type="dxa" w:w="80"/>
              <w:right w:type="dxa" w:w="100"/>
            </w:tcMar>
            <w:vAlign w:val="center"/>
          </w:tcPr>
          <w:p>
            <w:pPr>
              <w:jc w:val="left"/>
            </w:pPr>
            <w:r>
              <w:rPr>
                <w:b/>
                <w:bCs/>
                <w:color w:val="FFFFFF"/>
                <w:sz w:val="18"/>
                <w:szCs w:val="18"/>
              </w:rPr>
              <w:t xml:space="preserve">Notes</w:t>
            </w:r>
          </w:p>
        </w:tc>
      </w:tr>
      <w:tr>
        <w:tc>
          <w:tcPr>
            <w:tcW w:type="dxa" w:w="28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Inner diameter (ring size)</w:t>
            </w:r>
          </w:p>
        </w:tc>
        <w:tc>
          <w:tcPr>
            <w:tcW w:type="dxa" w:w="1600"/>
            <w:tcMar>
              <w:top w:type="dxa" w:w="80"/>
              <w:left w:type="dxa" w:w="100"/>
              <w:bottom w:type="dxa" w:w="80"/>
              <w:right w:type="dxa" w:w="100"/>
            </w:tcMar>
            <w:vAlign w:val="center"/>
          </w:tcPr>
          <w:p>
            <w:pPr>
              <w:jc w:val="left"/>
            </w:pPr>
            <w:r>
              <w:rPr>
                <w:b w:val="false"/>
                <w:bCs w:val="false"/>
                <w:color w:val="222222"/>
                <w:sz w:val="18"/>
                <w:szCs w:val="18"/>
              </w:rPr>
              <w:t xml:space="preserve">17.3 mm</w:t>
            </w:r>
          </w:p>
        </w:tc>
        <w:tc>
          <w:tcPr>
            <w:tcW w:type="dxa" w:w="1400"/>
            <w:tcMar>
              <w:top w:type="dxa" w:w="80"/>
              <w:left w:type="dxa" w:w="100"/>
              <w:bottom w:type="dxa" w:w="80"/>
              <w:right w:type="dxa" w:w="100"/>
            </w:tcMar>
            <w:vAlign w:val="center"/>
          </w:tcPr>
          <w:p>
            <w:pPr>
              <w:jc w:val="left"/>
            </w:pPr>
            <w:r>
              <w:rPr>
                <w:b w:val="false"/>
                <w:bCs w:val="false"/>
                <w:color w:val="222222"/>
                <w:sz w:val="18"/>
                <w:szCs w:val="18"/>
              </w:rPr>
              <w:t xml:space="preserve">±0.1 mm</w:t>
            </w:r>
          </w:p>
        </w:tc>
        <w:tc>
          <w:tcPr>
            <w:tcW w:type="dxa" w:w="3560"/>
            <w:tcMar>
              <w:top w:type="dxa" w:w="80"/>
              <w:left w:type="dxa" w:w="100"/>
              <w:bottom w:type="dxa" w:w="80"/>
              <w:right w:type="dxa" w:w="100"/>
            </w:tcMar>
            <w:vAlign w:val="center"/>
          </w:tcPr>
          <w:p>
            <w:pPr>
              <w:jc w:val="left"/>
            </w:pPr>
            <w:r>
              <w:rPr>
                <w:b w:val="false"/>
                <w:bCs w:val="false"/>
                <w:color w:val="222222"/>
                <w:sz w:val="18"/>
                <w:szCs w:val="18"/>
              </w:rPr>
              <w:t xml:space="preserve">Measured post-cast and post-polish, not pre-sizing</w:t>
            </w:r>
          </w:p>
        </w:tc>
      </w:tr>
      <w:tr>
        <w:tc>
          <w:tcPr>
            <w:tcW w:type="dxa" w:w="28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Shank width — back/base (narrowest point)</w:t>
            </w:r>
          </w:p>
        </w:tc>
        <w:tc>
          <w:tcPr>
            <w:tcW w:type="dxa" w:w="1600"/>
            <w:tcMar>
              <w:top w:type="dxa" w:w="80"/>
              <w:left w:type="dxa" w:w="100"/>
              <w:bottom w:type="dxa" w:w="80"/>
              <w:right w:type="dxa" w:w="100"/>
            </w:tcMar>
            <w:vAlign w:val="center"/>
          </w:tcPr>
          <w:p>
            <w:pPr>
              <w:jc w:val="left"/>
            </w:pPr>
            <w:r>
              <w:rPr>
                <w:b w:val="false"/>
                <w:bCs w:val="false"/>
                <w:color w:val="222222"/>
                <w:sz w:val="18"/>
                <w:szCs w:val="18"/>
              </w:rPr>
              <w:t xml:space="preserve">1.8 mm</w:t>
            </w:r>
          </w:p>
        </w:tc>
        <w:tc>
          <w:tcPr>
            <w:tcW w:type="dxa" w:w="1400"/>
            <w:tcMar>
              <w:top w:type="dxa" w:w="80"/>
              <w:left w:type="dxa" w:w="100"/>
              <w:bottom w:type="dxa" w:w="80"/>
              <w:right w:type="dxa" w:w="100"/>
            </w:tcMar>
            <w:vAlign w:val="center"/>
          </w:tcPr>
          <w:p>
            <w:pPr>
              <w:jc w:val="left"/>
            </w:pPr>
            <w:r>
              <w:rPr>
                <w:b w:val="false"/>
                <w:bCs w:val="false"/>
                <w:color w:val="222222"/>
                <w:sz w:val="18"/>
                <w:szCs w:val="18"/>
              </w:rPr>
              <w:t xml:space="preserve">±0.1 mm</w:t>
            </w:r>
          </w:p>
        </w:tc>
        <w:tc>
          <w:tcPr>
            <w:tcW w:type="dxa" w:w="3560"/>
            <w:tcMar>
              <w:top w:type="dxa" w:w="80"/>
              <w:left w:type="dxa" w:w="100"/>
              <w:bottom w:type="dxa" w:w="80"/>
              <w:right w:type="dxa" w:w="100"/>
            </w:tcMar>
            <w:vAlign w:val="center"/>
          </w:tcPr>
          <w:p>
            <w:pPr>
              <w:jc w:val="left"/>
            </w:pPr>
            <w:r>
              <w:rPr>
                <w:b w:val="false"/>
                <w:bCs w:val="false"/>
                <w:color w:val="222222"/>
                <w:sz w:val="18"/>
                <w:szCs w:val="18"/>
              </w:rPr>
              <w:t xml:space="preserve">Comfort-fit half-round exterior, flat interior</w:t>
            </w:r>
          </w:p>
        </w:tc>
      </w:tr>
      <w:tr>
        <w:tc>
          <w:tcPr>
            <w:tcW w:type="dxa" w:w="28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Shank thickness (metal depth, base)</w:t>
            </w:r>
          </w:p>
        </w:tc>
        <w:tc>
          <w:tcPr>
            <w:tcW w:type="dxa" w:w="1600"/>
            <w:tcMar>
              <w:top w:type="dxa" w:w="80"/>
              <w:left w:type="dxa" w:w="100"/>
              <w:bottom w:type="dxa" w:w="80"/>
              <w:right w:type="dxa" w:w="100"/>
            </w:tcMar>
            <w:vAlign w:val="center"/>
          </w:tcPr>
          <w:p>
            <w:pPr>
              <w:jc w:val="left"/>
            </w:pPr>
            <w:r>
              <w:rPr>
                <w:b w:val="false"/>
                <w:bCs w:val="false"/>
                <w:color w:val="222222"/>
                <w:sz w:val="18"/>
                <w:szCs w:val="18"/>
              </w:rPr>
              <w:t xml:space="preserve">1.5 mm</w:t>
            </w:r>
          </w:p>
        </w:tc>
        <w:tc>
          <w:tcPr>
            <w:tcW w:type="dxa" w:w="1400"/>
            <w:tcMar>
              <w:top w:type="dxa" w:w="80"/>
              <w:left w:type="dxa" w:w="100"/>
              <w:bottom w:type="dxa" w:w="80"/>
              <w:right w:type="dxa" w:w="100"/>
            </w:tcMar>
            <w:vAlign w:val="center"/>
          </w:tcPr>
          <w:p>
            <w:pPr>
              <w:jc w:val="left"/>
            </w:pPr>
            <w:r>
              <w:rPr>
                <w:b w:val="false"/>
                <w:bCs w:val="false"/>
                <w:color w:val="222222"/>
                <w:sz w:val="18"/>
                <w:szCs w:val="18"/>
              </w:rPr>
              <w:t xml:space="preserve">±0.1 mm</w:t>
            </w:r>
          </w:p>
        </w:tc>
        <w:tc>
          <w:tcPr>
            <w:tcW w:type="dxa" w:w="3560"/>
            <w:tcMar>
              <w:top w:type="dxa" w:w="80"/>
              <w:left w:type="dxa" w:w="100"/>
              <w:bottom w:type="dxa" w:w="80"/>
              <w:right w:type="dxa" w:w="100"/>
            </w:tcMar>
            <w:vAlign w:val="center"/>
          </w:tcPr>
          <w:p>
            <w:pPr>
              <w:jc w:val="left"/>
            </w:pPr>
            <w:r>
              <w:rPr>
                <w:b w:val="false"/>
                <w:bCs w:val="false"/>
                <w:color w:val="222222"/>
                <w:sz w:val="18"/>
                <w:szCs w:val="18"/>
              </w:rPr>
              <w:t xml:space="preserve">Full 925 silver, no hollow core in shank</w:t>
            </w:r>
          </w:p>
        </w:tc>
      </w:tr>
      <w:tr>
        <w:tc>
          <w:tcPr>
            <w:tcW w:type="dxa" w:w="28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Shank width — at shoulder (motif transition)</w:t>
            </w:r>
          </w:p>
        </w:tc>
        <w:tc>
          <w:tcPr>
            <w:tcW w:type="dxa" w:w="1600"/>
            <w:tcMar>
              <w:top w:type="dxa" w:w="80"/>
              <w:left w:type="dxa" w:w="100"/>
              <w:bottom w:type="dxa" w:w="80"/>
              <w:right w:type="dxa" w:w="100"/>
            </w:tcMar>
            <w:vAlign w:val="center"/>
          </w:tcPr>
          <w:p>
            <w:pPr>
              <w:jc w:val="left"/>
            </w:pPr>
            <w:r>
              <w:rPr>
                <w:b w:val="false"/>
                <w:bCs w:val="false"/>
                <w:color w:val="222222"/>
                <w:sz w:val="18"/>
                <w:szCs w:val="18"/>
              </w:rPr>
              <w:t xml:space="preserve">2.2–2.4 mm</w:t>
            </w:r>
          </w:p>
        </w:tc>
        <w:tc>
          <w:tcPr>
            <w:tcW w:type="dxa" w:w="1400"/>
            <w:tcMar>
              <w:top w:type="dxa" w:w="80"/>
              <w:left w:type="dxa" w:w="100"/>
              <w:bottom w:type="dxa" w:w="80"/>
              <w:right w:type="dxa" w:w="100"/>
            </w:tcMar>
            <w:vAlign w:val="center"/>
          </w:tcPr>
          <w:p>
            <w:pPr>
              <w:jc w:val="left"/>
            </w:pPr>
            <w:r>
              <w:rPr>
                <w:b w:val="false"/>
                <w:bCs w:val="false"/>
                <w:color w:val="222222"/>
                <w:sz w:val="18"/>
                <w:szCs w:val="18"/>
              </w:rPr>
              <w:t xml:space="preserve">±0.15 mm</w:t>
            </w:r>
          </w:p>
        </w:tc>
        <w:tc>
          <w:tcPr>
            <w:tcW w:type="dxa" w:w="3560"/>
            <w:tcMar>
              <w:top w:type="dxa" w:w="80"/>
              <w:left w:type="dxa" w:w="100"/>
              <w:bottom w:type="dxa" w:w="80"/>
              <w:right w:type="dxa" w:w="100"/>
            </w:tcMar>
            <w:vAlign w:val="center"/>
          </w:tcPr>
          <w:p>
            <w:pPr>
              <w:jc w:val="left"/>
            </w:pPr>
            <w:r>
              <w:rPr>
                <w:b w:val="false"/>
                <w:bCs w:val="false"/>
                <w:color w:val="222222"/>
                <w:sz w:val="18"/>
                <w:szCs w:val="18"/>
              </w:rPr>
              <w:t xml:space="preserve">Widens gradually into motif, no hard step/seam</w:t>
            </w:r>
          </w:p>
        </w:tc>
      </w:tr>
      <w:tr>
        <w:tc>
          <w:tcPr>
            <w:tcW w:type="dxa" w:w="28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Shoulder / motif zone width (per side)</w:t>
            </w:r>
          </w:p>
        </w:tc>
        <w:tc>
          <w:tcPr>
            <w:tcW w:type="dxa" w:w="1600"/>
            <w:tcMar>
              <w:top w:type="dxa" w:w="80"/>
              <w:left w:type="dxa" w:w="100"/>
              <w:bottom w:type="dxa" w:w="80"/>
              <w:right w:type="dxa" w:w="100"/>
            </w:tcMar>
            <w:vAlign w:val="center"/>
          </w:tcPr>
          <w:p>
            <w:pPr>
              <w:jc w:val="left"/>
            </w:pPr>
            <w:r>
              <w:rPr>
                <w:b w:val="false"/>
                <w:bCs w:val="false"/>
                <w:color w:val="222222"/>
                <w:sz w:val="18"/>
                <w:szCs w:val="18"/>
              </w:rPr>
              <w:t xml:space="preserve">3.5–4.0 mm</w:t>
            </w:r>
          </w:p>
        </w:tc>
        <w:tc>
          <w:tcPr>
            <w:tcW w:type="dxa" w:w="1400"/>
            <w:tcMar>
              <w:top w:type="dxa" w:w="80"/>
              <w:left w:type="dxa" w:w="100"/>
              <w:bottom w:type="dxa" w:w="80"/>
              <w:right w:type="dxa" w:w="100"/>
            </w:tcMar>
            <w:vAlign w:val="center"/>
          </w:tcPr>
          <w:p>
            <w:pPr>
              <w:jc w:val="left"/>
            </w:pPr>
            <w:r>
              <w:rPr>
                <w:b w:val="false"/>
                <w:bCs w:val="false"/>
                <w:color w:val="222222"/>
                <w:sz w:val="18"/>
                <w:szCs w:val="18"/>
              </w:rPr>
              <w:t xml:space="preserve">Per ref. images (Sec. 6)</w:t>
            </w:r>
          </w:p>
        </w:tc>
        <w:tc>
          <w:tcPr>
            <w:tcW w:type="dxa" w:w="3560"/>
            <w:tcMar>
              <w:top w:type="dxa" w:w="80"/>
              <w:left w:type="dxa" w:w="100"/>
              <w:bottom w:type="dxa" w:w="80"/>
              <w:right w:type="dxa" w:w="100"/>
            </w:tcMar>
            <w:vAlign w:val="center"/>
          </w:tcPr>
          <w:p>
            <w:pPr>
              <w:jc w:val="left"/>
            </w:pPr>
            <w:r>
              <w:rPr>
                <w:b w:val="false"/>
                <w:bCs w:val="false"/>
                <w:color w:val="222222"/>
                <w:sz w:val="18"/>
                <w:szCs w:val="18"/>
              </w:rPr>
              <w:t xml:space="preserve">Final value locked once reference images are reviewed</w:t>
            </w:r>
          </w:p>
        </w:tc>
      </w:tr>
      <w:tr>
        <w:tc>
          <w:tcPr>
            <w:tcW w:type="dxa" w:w="28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Gallery / basket height (girdle to shank rail)</w:t>
            </w:r>
          </w:p>
        </w:tc>
        <w:tc>
          <w:tcPr>
            <w:tcW w:type="dxa" w:w="1600"/>
            <w:tcMar>
              <w:top w:type="dxa" w:w="80"/>
              <w:left w:type="dxa" w:w="100"/>
              <w:bottom w:type="dxa" w:w="80"/>
              <w:right w:type="dxa" w:w="100"/>
            </w:tcMar>
            <w:vAlign w:val="center"/>
          </w:tcPr>
          <w:p>
            <w:pPr>
              <w:jc w:val="left"/>
            </w:pPr>
            <w:r>
              <w:rPr>
                <w:b w:val="false"/>
                <w:bCs w:val="false"/>
                <w:color w:val="222222"/>
                <w:sz w:val="18"/>
                <w:szCs w:val="18"/>
              </w:rPr>
              <w:t xml:space="preserve">4.5–5.5 mm</w:t>
            </w:r>
          </w:p>
        </w:tc>
        <w:tc>
          <w:tcPr>
            <w:tcW w:type="dxa" w:w="1400"/>
            <w:tcMar>
              <w:top w:type="dxa" w:w="80"/>
              <w:left w:type="dxa" w:w="100"/>
              <w:bottom w:type="dxa" w:w="80"/>
              <w:right w:type="dxa" w:w="100"/>
            </w:tcMar>
            <w:vAlign w:val="center"/>
          </w:tcPr>
          <w:p>
            <w:pPr>
              <w:jc w:val="left"/>
            </w:pPr>
            <w:r>
              <w:rPr>
                <w:b w:val="false"/>
                <w:bCs w:val="false"/>
                <w:color w:val="222222"/>
                <w:sz w:val="18"/>
                <w:szCs w:val="18"/>
              </w:rPr>
              <w:t xml:space="preserve">±0.2 mm</w:t>
            </w:r>
          </w:p>
        </w:tc>
        <w:tc>
          <w:tcPr>
            <w:tcW w:type="dxa" w:w="3560"/>
            <w:tcMar>
              <w:top w:type="dxa" w:w="80"/>
              <w:left w:type="dxa" w:w="100"/>
              <w:bottom w:type="dxa" w:w="80"/>
              <w:right w:type="dxa" w:w="100"/>
            </w:tcMar>
            <w:vAlign w:val="center"/>
          </w:tcPr>
          <w:p>
            <w:pPr>
              <w:jc w:val="left"/>
            </w:pPr>
            <w:r>
              <w:rPr>
                <w:b w:val="false"/>
                <w:bCs w:val="false"/>
                <w:color w:val="222222"/>
                <w:sz w:val="18"/>
                <w:szCs w:val="18"/>
              </w:rPr>
              <w:t xml:space="preserve">Open basket to let light through pavilion</w:t>
            </w:r>
          </w:p>
        </w:tc>
      </w:tr>
      <w:tr>
        <w:tc>
          <w:tcPr>
            <w:tcW w:type="dxa" w:w="28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Prong base diameter</w:t>
            </w:r>
          </w:p>
        </w:tc>
        <w:tc>
          <w:tcPr>
            <w:tcW w:type="dxa" w:w="1600"/>
            <w:tcMar>
              <w:top w:type="dxa" w:w="80"/>
              <w:left w:type="dxa" w:w="100"/>
              <w:bottom w:type="dxa" w:w="80"/>
              <w:right w:type="dxa" w:w="100"/>
            </w:tcMar>
            <w:vAlign w:val="center"/>
          </w:tcPr>
          <w:p>
            <w:pPr>
              <w:jc w:val="left"/>
            </w:pPr>
            <w:r>
              <w:rPr>
                <w:b w:val="false"/>
                <w:bCs w:val="false"/>
                <w:color w:val="222222"/>
                <w:sz w:val="18"/>
                <w:szCs w:val="18"/>
              </w:rPr>
              <w:t xml:space="preserve">1.2 mm</w:t>
            </w:r>
          </w:p>
        </w:tc>
        <w:tc>
          <w:tcPr>
            <w:tcW w:type="dxa" w:w="1400"/>
            <w:tcMar>
              <w:top w:type="dxa" w:w="80"/>
              <w:left w:type="dxa" w:w="100"/>
              <w:bottom w:type="dxa" w:w="80"/>
              <w:right w:type="dxa" w:w="100"/>
            </w:tcMar>
            <w:vAlign w:val="center"/>
          </w:tcPr>
          <w:p>
            <w:pPr>
              <w:jc w:val="left"/>
            </w:pPr>
            <w:r>
              <w:rPr>
                <w:b w:val="false"/>
                <w:bCs w:val="false"/>
                <w:color w:val="222222"/>
                <w:sz w:val="18"/>
                <w:szCs w:val="18"/>
              </w:rPr>
              <w:t xml:space="preserve">±0.05 mm</w:t>
            </w:r>
          </w:p>
        </w:tc>
        <w:tc>
          <w:tcPr>
            <w:tcW w:type="dxa" w:w="3560"/>
            <w:tcMar>
              <w:top w:type="dxa" w:w="80"/>
              <w:left w:type="dxa" w:w="100"/>
              <w:bottom w:type="dxa" w:w="80"/>
              <w:right w:type="dxa" w:w="100"/>
            </w:tcMar>
            <w:vAlign w:val="center"/>
          </w:tcPr>
          <w:p>
            <w:pPr>
              <w:jc w:val="left"/>
            </w:pPr>
            <w:r>
              <w:rPr>
                <w:b w:val="false"/>
                <w:bCs w:val="false"/>
                <w:color w:val="222222"/>
                <w:sz w:val="18"/>
                <w:szCs w:val="18"/>
              </w:rPr>
              <w:t xml:space="preserve">Round, tapering toward tip</w:t>
            </w:r>
          </w:p>
        </w:tc>
      </w:tr>
      <w:tr>
        <w:tc>
          <w:tcPr>
            <w:tcW w:type="dxa" w:w="28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Prong tip diameter (post-finishing)</w:t>
            </w:r>
          </w:p>
        </w:tc>
        <w:tc>
          <w:tcPr>
            <w:tcW w:type="dxa" w:w="1600"/>
            <w:tcMar>
              <w:top w:type="dxa" w:w="80"/>
              <w:left w:type="dxa" w:w="100"/>
              <w:bottom w:type="dxa" w:w="80"/>
              <w:right w:type="dxa" w:w="100"/>
            </w:tcMar>
            <w:vAlign w:val="center"/>
          </w:tcPr>
          <w:p>
            <w:pPr>
              <w:jc w:val="left"/>
            </w:pPr>
            <w:r>
              <w:rPr>
                <w:b w:val="false"/>
                <w:bCs w:val="false"/>
                <w:color w:val="222222"/>
                <w:sz w:val="18"/>
                <w:szCs w:val="18"/>
              </w:rPr>
              <w:t xml:space="preserve">0.8 mm</w:t>
            </w:r>
          </w:p>
        </w:tc>
        <w:tc>
          <w:tcPr>
            <w:tcW w:type="dxa" w:w="1400"/>
            <w:tcMar>
              <w:top w:type="dxa" w:w="80"/>
              <w:left w:type="dxa" w:w="100"/>
              <w:bottom w:type="dxa" w:w="80"/>
              <w:right w:type="dxa" w:w="100"/>
            </w:tcMar>
            <w:vAlign w:val="center"/>
          </w:tcPr>
          <w:p>
            <w:pPr>
              <w:jc w:val="left"/>
            </w:pPr>
            <w:r>
              <w:rPr>
                <w:b w:val="false"/>
                <w:bCs w:val="false"/>
                <w:color w:val="222222"/>
                <w:sz w:val="18"/>
                <w:szCs w:val="18"/>
              </w:rPr>
              <w:t xml:space="preserve">±0.05 mm</w:t>
            </w:r>
          </w:p>
        </w:tc>
        <w:tc>
          <w:tcPr>
            <w:tcW w:type="dxa" w:w="3560"/>
            <w:tcMar>
              <w:top w:type="dxa" w:w="80"/>
              <w:left w:type="dxa" w:w="100"/>
              <w:bottom w:type="dxa" w:w="80"/>
              <w:right w:type="dxa" w:w="100"/>
            </w:tcMar>
            <w:vAlign w:val="center"/>
          </w:tcPr>
          <w:p>
            <w:pPr>
              <w:jc w:val="left"/>
            </w:pPr>
            <w:r>
              <w:rPr>
                <w:b w:val="false"/>
                <w:bCs w:val="false"/>
                <w:color w:val="222222"/>
                <w:sz w:val="18"/>
                <w:szCs w:val="18"/>
              </w:rPr>
              <w:t xml:space="preserve">Hand-filed/polished by setter after stone-setting</w:t>
            </w:r>
          </w:p>
        </w:tc>
      </w:tr>
      <w:tr>
        <w:tc>
          <w:tcPr>
            <w:tcW w:type="dxa" w:w="28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Prong height above girdle</w:t>
            </w:r>
          </w:p>
        </w:tc>
        <w:tc>
          <w:tcPr>
            <w:tcW w:type="dxa" w:w="1600"/>
            <w:tcMar>
              <w:top w:type="dxa" w:w="80"/>
              <w:left w:type="dxa" w:w="100"/>
              <w:bottom w:type="dxa" w:w="80"/>
              <w:right w:type="dxa" w:w="100"/>
            </w:tcMar>
            <w:vAlign w:val="center"/>
          </w:tcPr>
          <w:p>
            <w:pPr>
              <w:jc w:val="left"/>
            </w:pPr>
            <w:r>
              <w:rPr>
                <w:b w:val="false"/>
                <w:bCs w:val="false"/>
                <w:color w:val="222222"/>
                <w:sz w:val="18"/>
                <w:szCs w:val="18"/>
              </w:rPr>
              <w:t xml:space="preserve">1.0–1.2 mm</w:t>
            </w:r>
          </w:p>
        </w:tc>
        <w:tc>
          <w:tcPr>
            <w:tcW w:type="dxa" w:w="1400"/>
            <w:tcMar>
              <w:top w:type="dxa" w:w="80"/>
              <w:left w:type="dxa" w:w="100"/>
              <w:bottom w:type="dxa" w:w="80"/>
              <w:right w:type="dxa" w:w="100"/>
            </w:tcMar>
            <w:vAlign w:val="center"/>
          </w:tcPr>
          <w:p>
            <w:pPr>
              <w:jc w:val="left"/>
            </w:pPr>
            <w:r>
              <w:rPr>
                <w:b w:val="false"/>
                <w:bCs w:val="false"/>
                <w:color w:val="222222"/>
                <w:sz w:val="18"/>
                <w:szCs w:val="18"/>
              </w:rPr>
              <w:t xml:space="preserve">±0.1 mm</w:t>
            </w:r>
          </w:p>
        </w:tc>
        <w:tc>
          <w:tcPr>
            <w:tcW w:type="dxa" w:w="3560"/>
            <w:tcMar>
              <w:top w:type="dxa" w:w="80"/>
              <w:left w:type="dxa" w:w="100"/>
              <w:bottom w:type="dxa" w:w="80"/>
              <w:right w:type="dxa" w:w="100"/>
            </w:tcMar>
            <w:vAlign w:val="center"/>
          </w:tcPr>
          <w:p>
            <w:pPr>
              <w:jc w:val="left"/>
            </w:pPr>
            <w:r>
              <w:rPr>
                <w:b w:val="false"/>
                <w:bCs w:val="false"/>
                <w:color w:val="222222"/>
                <w:sz w:val="18"/>
                <w:szCs w:val="18"/>
              </w:rPr>
              <w:t xml:space="preserve">Enough coverage for security without hiding crown facets</w:t>
            </w:r>
          </w:p>
        </w:tc>
      </w:tr>
      <w:tr>
        <w:tc>
          <w:tcPr>
            <w:tcW w:type="dxa" w:w="28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Seat depth (girdle bearing surface)</w:t>
            </w:r>
          </w:p>
        </w:tc>
        <w:tc>
          <w:tcPr>
            <w:tcW w:type="dxa" w:w="1600"/>
            <w:tcMar>
              <w:top w:type="dxa" w:w="80"/>
              <w:left w:type="dxa" w:w="100"/>
              <w:bottom w:type="dxa" w:w="80"/>
              <w:right w:type="dxa" w:w="100"/>
            </w:tcMar>
            <w:vAlign w:val="center"/>
          </w:tcPr>
          <w:p>
            <w:pPr>
              <w:jc w:val="left"/>
            </w:pPr>
            <w:r>
              <w:rPr>
                <w:b w:val="false"/>
                <w:bCs w:val="false"/>
                <w:color w:val="222222"/>
                <w:sz w:val="18"/>
                <w:szCs w:val="18"/>
              </w:rPr>
              <w:t xml:space="preserve">0.3–0.5 mm</w:t>
            </w:r>
          </w:p>
        </w:tc>
        <w:tc>
          <w:tcPr>
            <w:tcW w:type="dxa" w:w="1400"/>
            <w:tcMar>
              <w:top w:type="dxa" w:w="80"/>
              <w:left w:type="dxa" w:w="100"/>
              <w:bottom w:type="dxa" w:w="80"/>
              <w:right w:type="dxa" w:w="100"/>
            </w:tcMar>
            <w:vAlign w:val="center"/>
          </w:tcPr>
          <w:p>
            <w:pPr>
              <w:jc w:val="left"/>
            </w:pPr>
            <w:r>
              <w:rPr>
                <w:b w:val="false"/>
                <w:bCs w:val="false"/>
                <w:color w:val="222222"/>
                <w:sz w:val="18"/>
                <w:szCs w:val="18"/>
              </w:rPr>
              <w:t xml:space="preserve">±0.05 mm</w:t>
            </w:r>
          </w:p>
        </w:tc>
        <w:tc>
          <w:tcPr>
            <w:tcW w:type="dxa" w:w="3560"/>
            <w:tcMar>
              <w:top w:type="dxa" w:w="80"/>
              <w:left w:type="dxa" w:w="100"/>
              <w:bottom w:type="dxa" w:w="80"/>
              <w:right w:type="dxa" w:w="100"/>
            </w:tcMar>
            <w:vAlign w:val="center"/>
          </w:tcPr>
          <w:p>
            <w:pPr>
              <w:jc w:val="left"/>
            </w:pPr>
            <w:r>
              <w:rPr>
                <w:b w:val="false"/>
                <w:bCs w:val="false"/>
                <w:color w:val="222222"/>
                <w:sz w:val="18"/>
                <w:szCs w:val="18"/>
              </w:rPr>
              <w:t xml:space="preserve">Cut to match heart-brilliant pavilion angle</w:t>
            </w:r>
          </w:p>
        </w:tc>
      </w:tr>
      <w:tr>
        <w:tc>
          <w:tcPr>
            <w:tcW w:type="dxa" w:w="28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Estimated total ring height off-finger (crown to base)</w:t>
            </w:r>
          </w:p>
        </w:tc>
        <w:tc>
          <w:tcPr>
            <w:tcW w:type="dxa" w:w="1600"/>
            <w:tcMar>
              <w:top w:type="dxa" w:w="80"/>
              <w:left w:type="dxa" w:w="100"/>
              <w:bottom w:type="dxa" w:w="80"/>
              <w:right w:type="dxa" w:w="100"/>
            </w:tcMar>
            <w:vAlign w:val="center"/>
          </w:tcPr>
          <w:p>
            <w:pPr>
              <w:jc w:val="left"/>
            </w:pPr>
            <w:r>
              <w:rPr>
                <w:b w:val="false"/>
                <w:bCs w:val="false"/>
                <w:color w:val="222222"/>
                <w:sz w:val="18"/>
                <w:szCs w:val="18"/>
              </w:rPr>
              <w:t xml:space="preserve">9.5–11.0 mm</w:t>
            </w:r>
          </w:p>
        </w:tc>
        <w:tc>
          <w:tcPr>
            <w:tcW w:type="dxa" w:w="1400"/>
            <w:tcMar>
              <w:top w:type="dxa" w:w="80"/>
              <w:left w:type="dxa" w:w="100"/>
              <w:bottom w:type="dxa" w:w="80"/>
              <w:right w:type="dxa" w:w="100"/>
            </w:tcMar>
            <w:vAlign w:val="center"/>
          </w:tcPr>
          <w:p>
            <w:pPr>
              <w:jc w:val="left"/>
            </w:pPr>
            <w:r>
              <w:rPr>
                <w:b w:val="false"/>
                <w:bCs w:val="false"/>
                <w:color w:val="222222"/>
                <w:sz w:val="18"/>
                <w:szCs w:val="18"/>
              </w:rPr>
              <w:t xml:space="preserve">±0.3 mm</w:t>
            </w:r>
          </w:p>
        </w:tc>
        <w:tc>
          <w:tcPr>
            <w:tcW w:type="dxa" w:w="3560"/>
            <w:tcMar>
              <w:top w:type="dxa" w:w="80"/>
              <w:left w:type="dxa" w:w="100"/>
              <w:bottom w:type="dxa" w:w="80"/>
              <w:right w:type="dxa" w:w="100"/>
            </w:tcMar>
            <w:vAlign w:val="center"/>
          </w:tcPr>
          <w:p>
            <w:pPr>
              <w:jc w:val="left"/>
            </w:pPr>
            <w:r>
              <w:rPr>
                <w:b w:val="false"/>
                <w:bCs w:val="false"/>
                <w:color w:val="222222"/>
                <w:sz w:val="18"/>
                <w:szCs w:val="18"/>
              </w:rPr>
              <w:t xml:space="preserve">Sum of basket + stone depth + prong clearance</w:t>
            </w:r>
          </w:p>
        </w:tc>
      </w:tr>
      <w:tr>
        <w:tc>
          <w:tcPr>
            <w:tcW w:type="dxa" w:w="28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Estimated finished weight (silver only, stone excl.)</w:t>
            </w:r>
          </w:p>
        </w:tc>
        <w:tc>
          <w:tcPr>
            <w:tcW w:type="dxa" w:w="1600"/>
            <w:tcMar>
              <w:top w:type="dxa" w:w="80"/>
              <w:left w:type="dxa" w:w="100"/>
              <w:bottom w:type="dxa" w:w="80"/>
              <w:right w:type="dxa" w:w="100"/>
            </w:tcMar>
            <w:vAlign w:val="center"/>
          </w:tcPr>
          <w:p>
            <w:pPr>
              <w:jc w:val="left"/>
            </w:pPr>
            <w:r>
              <w:rPr>
                <w:b w:val="false"/>
                <w:bCs w:val="false"/>
                <w:color w:val="222222"/>
                <w:sz w:val="18"/>
                <w:szCs w:val="18"/>
              </w:rPr>
              <w:t xml:space="preserve">3.8–4.6 g</w:t>
            </w:r>
          </w:p>
        </w:tc>
        <w:tc>
          <w:tcPr>
            <w:tcW w:type="dxa" w:w="1400"/>
            <w:tcMar>
              <w:top w:type="dxa" w:w="80"/>
              <w:left w:type="dxa" w:w="100"/>
              <w:bottom w:type="dxa" w:w="80"/>
              <w:right w:type="dxa" w:w="100"/>
            </w:tcMar>
            <w:vAlign w:val="center"/>
          </w:tcPr>
          <w:p>
            <w:pPr>
              <w:jc w:val="left"/>
            </w:pPr>
            <w:r>
              <w:rPr>
                <w:b w:val="false"/>
                <w:bCs w:val="false"/>
                <w:color w:val="222222"/>
                <w:sz w:val="18"/>
                <w:szCs w:val="18"/>
              </w:rPr>
              <w:t xml:space="preserve">±0.3 g</w:t>
            </w:r>
          </w:p>
        </w:tc>
        <w:tc>
          <w:tcPr>
            <w:tcW w:type="dxa" w:w="3560"/>
            <w:tcMar>
              <w:top w:type="dxa" w:w="80"/>
              <w:left w:type="dxa" w:w="100"/>
              <w:bottom w:type="dxa" w:w="80"/>
              <w:right w:type="dxa" w:w="100"/>
            </w:tcMar>
            <w:vAlign w:val="center"/>
          </w:tcPr>
          <w:p>
            <w:pPr>
              <w:jc w:val="left"/>
            </w:pPr>
            <w:r>
              <w:rPr>
                <w:b w:val="false"/>
                <w:bCs w:val="false"/>
                <w:color w:val="222222"/>
                <w:sz w:val="18"/>
                <w:szCs w:val="18"/>
              </w:rPr>
              <w:t xml:space="preserve">To be confirmed by CAD mass properties before casting</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CECEC" w:val="clear"/>
            <w:tcMar>
              <w:top w:type="dxa" w:w="120"/>
              <w:left w:type="dxa" w:w="150"/>
              <w:bottom w:type="dxa" w:w="120"/>
              <w:right w:type="dxa" w:w="150"/>
            </w:tcMar>
          </w:tcPr>
          <w:p>
            <w:r>
              <w:rPr>
                <w:b/>
                <w:bCs/>
                <w:color w:val="8A1C1C"/>
                <w:sz w:val="20"/>
                <w:szCs w:val="20"/>
              </w:rPr>
              <w:t xml:space="preserve">⚠ PENDING / FLAGGED FOR CLIENT CONFIRMATION: </w:t>
            </w:r>
            <w:r>
              <w:rPr>
                <w:color w:val="8A1C1C"/>
                <w:sz w:val="20"/>
                <w:szCs w:val="20"/>
              </w:rPr>
              <w:t xml:space="preserve">Shoulder/motif width, shank taper curve, and overall silhouette in the shoulder zone are designer defaults based on stone size and standard shoulder engineering. These must be re-validated once the four reference images are reviewed, since the chain-link motif's own width/pitch may force a different shoulder profile.</w:t>
            </w:r>
          </w:p>
        </w:tc>
      </w:tr>
    </w:tbl>
    <w:p>
      <w:pPr>
        <w:pStyle w:val="Heading1"/>
        <w:pBdr>
          <w:bottom w:val="single" w:color="2E6B4F" w:sz="8" w:space="4"/>
        </w:pBdr>
        <w:spacing w:after="200" w:before="400"/>
      </w:pPr>
      <w:r>
        <w:rPr>
          <w:b/>
          <w:bCs/>
          <w:color w:val="1F2D3D"/>
          <w:sz w:val="30"/>
          <w:szCs w:val="30"/>
        </w:rPr>
        <w:t xml:space="preserve">4. Gemstone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2D3D" w:val="clear"/>
            <w:tcMar>
              <w:top w:type="dxa" w:w="80"/>
              <w:left w:type="dxa" w:w="100"/>
              <w:bottom w:type="dxa" w:w="80"/>
              <w:right w:type="dxa" w:w="100"/>
            </w:tcMar>
            <w:vAlign w:val="center"/>
          </w:tcPr>
          <w:p>
            <w:pPr>
              <w:jc w:val="left"/>
            </w:pPr>
            <w:r>
              <w:rPr>
                <w:b/>
                <w:bCs/>
                <w:color w:val="FFFFFF"/>
                <w:sz w:val="18"/>
                <w:szCs w:val="18"/>
              </w:rPr>
              <w:t xml:space="preserve">Attribute</w:t>
            </w:r>
          </w:p>
        </w:tc>
        <w:tc>
          <w:tcPr>
            <w:tcW w:type="dxa" w:w="6360"/>
            <w:shd w:fill="1F2D3D" w:val="clear"/>
            <w:tcMar>
              <w:top w:type="dxa" w:w="80"/>
              <w:left w:type="dxa" w:w="100"/>
              <w:bottom w:type="dxa" w:w="80"/>
              <w:right w:type="dxa" w:w="100"/>
            </w:tcMar>
            <w:vAlign w:val="center"/>
          </w:tcPr>
          <w:p>
            <w:pPr>
              <w:jc w:val="left"/>
            </w:pPr>
            <w:r>
              <w:rPr>
                <w:b/>
                <w:bCs/>
                <w:color w:val="FFFFFF"/>
                <w:sz w:val="18"/>
                <w:szCs w:val="18"/>
              </w:rPr>
              <w:t xml:space="preserve">Specification</w:t>
            </w:r>
          </w:p>
        </w:tc>
      </w:tr>
      <w:tr>
        <w:tc>
          <w:tcPr>
            <w:tcW w:type="dxa" w:w="30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Species / variety</w:t>
            </w:r>
          </w:p>
        </w:tc>
        <w:tc>
          <w:tcPr>
            <w:tcW w:type="dxa" w:w="6360"/>
            <w:tcMar>
              <w:top w:type="dxa" w:w="80"/>
              <w:left w:type="dxa" w:w="100"/>
              <w:bottom w:type="dxa" w:w="80"/>
              <w:right w:type="dxa" w:w="100"/>
            </w:tcMar>
            <w:vAlign w:val="center"/>
          </w:tcPr>
          <w:p>
            <w:pPr>
              <w:jc w:val="left"/>
            </w:pPr>
            <w:r>
              <w:rPr>
                <w:b w:val="false"/>
                <w:bCs w:val="false"/>
                <w:color w:val="222222"/>
                <w:sz w:val="18"/>
                <w:szCs w:val="18"/>
              </w:rPr>
              <w:t xml:space="preserve">Natural emerald (beryl), no synthetic or lab-grown substitute</w:t>
            </w:r>
          </w:p>
        </w:tc>
      </w:tr>
      <w:tr>
        <w:tc>
          <w:tcPr>
            <w:tcW w:type="dxa" w:w="30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Shape</w:t>
            </w:r>
          </w:p>
        </w:tc>
        <w:tc>
          <w:tcPr>
            <w:tcW w:type="dxa" w:w="6360"/>
            <w:tcMar>
              <w:top w:type="dxa" w:w="80"/>
              <w:left w:type="dxa" w:w="100"/>
              <w:bottom w:type="dxa" w:w="80"/>
              <w:right w:type="dxa" w:w="100"/>
            </w:tcMar>
            <w:vAlign w:val="center"/>
          </w:tcPr>
          <w:p>
            <w:pPr>
              <w:jc w:val="left"/>
            </w:pPr>
            <w:r>
              <w:rPr>
                <w:b w:val="false"/>
                <w:bCs w:val="false"/>
                <w:color w:val="222222"/>
                <w:sz w:val="18"/>
                <w:szCs w:val="18"/>
              </w:rPr>
              <w:t xml:space="preserve">Heart</w:t>
            </w:r>
          </w:p>
        </w:tc>
      </w:tr>
      <w:tr>
        <w:tc>
          <w:tcPr>
            <w:tcW w:type="dxa" w:w="30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Cut style</w:t>
            </w:r>
          </w:p>
        </w:tc>
        <w:tc>
          <w:tcPr>
            <w:tcW w:type="dxa" w:w="6360"/>
            <w:tcMar>
              <w:top w:type="dxa" w:w="80"/>
              <w:left w:type="dxa" w:w="100"/>
              <w:bottom w:type="dxa" w:w="80"/>
              <w:right w:type="dxa" w:w="100"/>
            </w:tcMar>
            <w:vAlign w:val="center"/>
          </w:tcPr>
          <w:p>
            <w:pPr>
              <w:jc w:val="left"/>
            </w:pPr>
            <w:r>
              <w:rPr>
                <w:b w:val="false"/>
                <w:bCs w:val="false"/>
                <w:color w:val="222222"/>
                <w:sz w:val="18"/>
                <w:szCs w:val="18"/>
              </w:rPr>
              <w:t xml:space="preserve">Brilliant (heart-brilliant faceting)</w:t>
            </w:r>
          </w:p>
        </w:tc>
      </w:tr>
      <w:tr>
        <w:tc>
          <w:tcPr>
            <w:tcW w:type="dxa" w:w="30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Dimensions</w:t>
            </w:r>
          </w:p>
        </w:tc>
        <w:tc>
          <w:tcPr>
            <w:tcW w:type="dxa" w:w="6360"/>
            <w:tcMar>
              <w:top w:type="dxa" w:w="80"/>
              <w:left w:type="dxa" w:w="100"/>
              <w:bottom w:type="dxa" w:w="80"/>
              <w:right w:type="dxa" w:w="100"/>
            </w:tcMar>
            <w:vAlign w:val="center"/>
          </w:tcPr>
          <w:p>
            <w:pPr>
              <w:jc w:val="left"/>
            </w:pPr>
            <w:r>
              <w:rPr>
                <w:b w:val="false"/>
                <w:bCs w:val="false"/>
                <w:color w:val="222222"/>
                <w:sz w:val="18"/>
                <w:szCs w:val="18"/>
              </w:rPr>
              <w:t xml:space="preserve">8.0–9.0 mm length × 8.0–9.0 mm width (near-symmetrical heart, L:W ≈ 0.95–1.05:1)</w:t>
            </w:r>
          </w:p>
        </w:tc>
      </w:tr>
      <w:tr>
        <w:tc>
          <w:tcPr>
            <w:tcW w:type="dxa" w:w="30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Estimated depth</w:t>
            </w:r>
          </w:p>
        </w:tc>
        <w:tc>
          <w:tcPr>
            <w:tcW w:type="dxa" w:w="6360"/>
            <w:tcMar>
              <w:top w:type="dxa" w:w="80"/>
              <w:left w:type="dxa" w:w="100"/>
              <w:bottom w:type="dxa" w:w="80"/>
              <w:right w:type="dxa" w:w="100"/>
            </w:tcMar>
            <w:vAlign w:val="center"/>
          </w:tcPr>
          <w:p>
            <w:pPr>
              <w:jc w:val="left"/>
            </w:pPr>
            <w:r>
              <w:rPr>
                <w:b w:val="false"/>
                <w:bCs w:val="false"/>
                <w:color w:val="222222"/>
                <w:sz w:val="18"/>
                <w:szCs w:val="18"/>
              </w:rPr>
              <w:t xml:space="preserve">5.0–5.8 mm (≈65% of average width, typical heart-brilliant proportion)</w:t>
            </w:r>
          </w:p>
        </w:tc>
      </w:tr>
      <w:tr>
        <w:tc>
          <w:tcPr>
            <w:tcW w:type="dxa" w:w="30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Estimated carat weight</w:t>
            </w:r>
          </w:p>
        </w:tc>
        <w:tc>
          <w:tcPr>
            <w:tcW w:type="dxa" w:w="6360"/>
            <w:tcMar>
              <w:top w:type="dxa" w:w="80"/>
              <w:left w:type="dxa" w:w="100"/>
              <w:bottom w:type="dxa" w:w="80"/>
              <w:right w:type="dxa" w:w="100"/>
            </w:tcMar>
            <w:vAlign w:val="center"/>
          </w:tcPr>
          <w:p>
            <w:pPr>
              <w:jc w:val="left"/>
            </w:pPr>
            <w:r>
              <w:rPr>
                <w:b w:val="false"/>
                <w:bCs w:val="false"/>
                <w:color w:val="222222"/>
                <w:sz w:val="18"/>
                <w:szCs w:val="18"/>
              </w:rPr>
              <w:t xml:space="preserve">≈2.0–2.6 ct (formula estimate: L × W × D × 0.0090; confirm on physical stone at sourcing)</w:t>
            </w:r>
          </w:p>
        </w:tc>
      </w:tr>
      <w:tr>
        <w:tc>
          <w:tcPr>
            <w:tcW w:type="dxa" w:w="30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Color</w:t>
            </w:r>
          </w:p>
        </w:tc>
        <w:tc>
          <w:tcPr>
            <w:tcW w:type="dxa" w:w="6360"/>
            <w:tcMar>
              <w:top w:type="dxa" w:w="80"/>
              <w:left w:type="dxa" w:w="100"/>
              <w:bottom w:type="dxa" w:w="80"/>
              <w:right w:type="dxa" w:w="100"/>
            </w:tcMar>
            <w:vAlign w:val="center"/>
          </w:tcPr>
          <w:p>
            <w:pPr>
              <w:jc w:val="left"/>
            </w:pPr>
            <w:r>
              <w:rPr>
                <w:b w:val="false"/>
                <w:bCs w:val="false"/>
                <w:color w:val="222222"/>
                <w:sz w:val="18"/>
                <w:szCs w:val="18"/>
              </w:rPr>
              <w:t xml:space="preserve">Vivid green, medium-dark tone, high saturation — no strong secondary blue/yellow modifier preferred</w:t>
            </w:r>
          </w:p>
        </w:tc>
      </w:tr>
      <w:tr>
        <w:tc>
          <w:tcPr>
            <w:tcW w:type="dxa" w:w="30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Clarity</w:t>
            </w:r>
          </w:p>
        </w:tc>
        <w:tc>
          <w:tcPr>
            <w:tcW w:type="dxa" w:w="6360"/>
            <w:tcMar>
              <w:top w:type="dxa" w:w="80"/>
              <w:left w:type="dxa" w:w="100"/>
              <w:bottom w:type="dxa" w:w="80"/>
              <w:right w:type="dxa" w:w="100"/>
            </w:tcMar>
            <w:vAlign w:val="center"/>
          </w:tcPr>
          <w:p>
            <w:pPr>
              <w:jc w:val="left"/>
            </w:pPr>
            <w:r>
              <w:rPr>
                <w:b w:val="false"/>
                <w:bCs w:val="false"/>
                <w:color w:val="222222"/>
                <w:sz w:val="18"/>
                <w:szCs w:val="18"/>
              </w:rPr>
              <w:t xml:space="preserve">Eye-clean face-up preferred; minor-to-moderate jardin (internal inclusions) is acceptable and expected in natural emerald — must be disclosed on the gem cert, not treated as a defect</w:t>
            </w:r>
          </w:p>
        </w:tc>
      </w:tr>
      <w:tr>
        <w:tc>
          <w:tcPr>
            <w:tcW w:type="dxa" w:w="30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Treatment disclosure</w:t>
            </w:r>
          </w:p>
        </w:tc>
        <w:tc>
          <w:tcPr>
            <w:tcW w:type="dxa" w:w="6360"/>
            <w:tcMar>
              <w:top w:type="dxa" w:w="80"/>
              <w:left w:type="dxa" w:w="100"/>
              <w:bottom w:type="dxa" w:w="80"/>
              <w:right w:type="dxa" w:w="100"/>
            </w:tcMar>
            <w:vAlign w:val="center"/>
          </w:tcPr>
          <w:p>
            <w:pPr>
              <w:jc w:val="left"/>
            </w:pPr>
            <w:r>
              <w:rPr>
                <w:b w:val="false"/>
                <w:bCs w:val="false"/>
                <w:color w:val="222222"/>
                <w:sz w:val="18"/>
                <w:szCs w:val="18"/>
              </w:rPr>
              <w:t xml:space="preserve">Standard oil treatment (traditional cedarwood oil, minor/moderate per CIBJO/GIA convention) expected and must be disclosed in writing; no resin/polymer fracture-filling</w:t>
            </w:r>
          </w:p>
        </w:tc>
      </w:tr>
      <w:tr>
        <w:tc>
          <w:tcPr>
            <w:tcW w:type="dxa" w:w="30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Orientation in setting</w:t>
            </w:r>
          </w:p>
        </w:tc>
        <w:tc>
          <w:tcPr>
            <w:tcW w:type="dxa" w:w="6360"/>
            <w:tcMar>
              <w:top w:type="dxa" w:w="80"/>
              <w:left w:type="dxa" w:w="100"/>
              <w:bottom w:type="dxa" w:w="80"/>
              <w:right w:type="dxa" w:w="100"/>
            </w:tcMar>
            <w:vAlign w:val="center"/>
          </w:tcPr>
          <w:p>
            <w:pPr>
              <w:jc w:val="left"/>
            </w:pPr>
            <w:r>
              <w:rPr>
                <w:b w:val="false"/>
                <w:bCs w:val="false"/>
                <w:color w:val="222222"/>
                <w:sz w:val="18"/>
                <w:szCs w:val="18"/>
              </w:rPr>
              <w:t xml:space="preserve">Point of heart oriented toward the base of the finger (toward the palm) unless client specifies point-up</w:t>
            </w:r>
          </w:p>
        </w:tc>
      </w:tr>
      <w:tr>
        <w:tc>
          <w:tcPr>
            <w:tcW w:type="dxa" w:w="30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Certification required</w:t>
            </w:r>
          </w:p>
        </w:tc>
        <w:tc>
          <w:tcPr>
            <w:tcW w:type="dxa" w:w="6360"/>
            <w:tcMar>
              <w:top w:type="dxa" w:w="80"/>
              <w:left w:type="dxa" w:w="100"/>
              <w:bottom w:type="dxa" w:w="80"/>
              <w:right w:type="dxa" w:w="100"/>
            </w:tcMar>
            <w:vAlign w:val="center"/>
          </w:tcPr>
          <w:p>
            <w:pPr>
              <w:jc w:val="left"/>
            </w:pPr>
            <w:r>
              <w:rPr>
                <w:b w:val="false"/>
                <w:bCs w:val="false"/>
                <w:color w:val="222222"/>
                <w:sz w:val="18"/>
                <w:szCs w:val="18"/>
              </w:rPr>
              <w:t xml:space="preserve">Independent gemological report (GIA, AGL, or equivalent) confirming natural origin, treatment, and dimensions prior to setting</w:t>
            </w:r>
          </w:p>
        </w:tc>
      </w:tr>
    </w:tbl>
    <w:p>
      <w:pPr>
        <w:spacing w:before="200"/>
      </w:pPr>
    </w:p>
    <w:p>
      <w:pPr>
        <w:pStyle w:val="Heading3"/>
        <w:spacing w:after="100" w:before="200"/>
      </w:pPr>
      <w:r>
        <w:rPr>
          <w:b/>
          <w:bCs/>
          <w:color w:val="2E6B4F"/>
          <w:sz w:val="21"/>
          <w:szCs w:val="21"/>
        </w:rPr>
        <w:t xml:space="preserve">4.1 Durability Note (flag for client awareness)</w:t>
      </w:r>
    </w:p>
    <w:p>
      <w:pPr>
        <w:spacing w:after="120"/>
      </w:pPr>
      <w:r>
        <w:rPr>
          <w:sz w:val="20"/>
          <w:szCs w:val="20"/>
        </w:rPr>
        <w:t xml:space="preserve">Emerald is significantly softer and more brittle than diamond or sapphire (Mohs 7.5–8 but with high inclusion density and low toughness), and heart shapes concentrate stress at two points: the center cleft (V-notch) and the bottom tip. This design's prong layout (Section 5) places a prong at both of those exact points deliberately, and the piece should be marketed/cared-for as a stone requiring the same care as other emerald jewelry (avoid impact, avoid ultrasonic cleaning, avoid steam cleaning).</w:t>
      </w:r>
    </w:p>
    <w:p>
      <w:pPr>
        <w:pStyle w:val="Heading1"/>
        <w:pBdr>
          <w:bottom w:val="single" w:color="2E6B4F" w:sz="8" w:space="4"/>
        </w:pBdr>
        <w:spacing w:after="200" w:before="400"/>
      </w:pPr>
      <w:r>
        <w:rPr>
          <w:b/>
          <w:bCs/>
          <w:color w:val="1F2D3D"/>
          <w:sz w:val="30"/>
          <w:szCs w:val="30"/>
        </w:rPr>
        <w:t xml:space="preserve">5. Setting &amp; Prong Specification</w:t>
      </w:r>
    </w:p>
    <w:p>
      <w:pPr>
        <w:pStyle w:val="Heading3"/>
        <w:spacing w:after="100" w:before="200"/>
      </w:pPr>
      <w:r>
        <w:rPr>
          <w:b/>
          <w:bCs/>
          <w:color w:val="2E6B4F"/>
          <w:sz w:val="21"/>
          <w:szCs w:val="21"/>
        </w:rPr>
        <w:t xml:space="preserve">5.1 Prong Layout (4-prong, heart-specific placement)</w:t>
      </w:r>
    </w:p>
    <w:p>
      <w:pPr>
        <w:pStyle w:val="ListParagraph"/>
        <w:numPr>
          <w:ilvl w:val="0"/>
          <w:numId w:val="2"/>
        </w:numPr>
        <w:spacing w:after="60"/>
      </w:pPr>
      <w:r>
        <w:rPr>
          <w:sz w:val="20"/>
          <w:szCs w:val="20"/>
        </w:rPr>
        <w:t xml:space="preserve">Prong 1 — Point prong: centered on the bottom tip (V-point) of the heart. This is the single most vulnerable point on the stone and must fully cradle the tip, not just touch it.</w:t>
      </w:r>
    </w:p>
    <w:p>
      <w:pPr>
        <w:pStyle w:val="ListParagraph"/>
        <w:numPr>
          <w:ilvl w:val="0"/>
          <w:numId w:val="2"/>
        </w:numPr>
        <w:spacing w:after="60"/>
      </w:pPr>
      <w:r>
        <w:rPr>
          <w:sz w:val="20"/>
          <w:szCs w:val="20"/>
        </w:rPr>
        <w:t xml:space="preserve">Prong 2 — Cleft prong: centered on the top cleft (V-notch). Recommend a split/notched "V-prong" tip profile so the prong hugs both facet planes of the cleft rather than resting on a single point.</w:t>
      </w:r>
    </w:p>
    <w:p>
      <w:pPr>
        <w:pStyle w:val="ListParagraph"/>
        <w:numPr>
          <w:ilvl w:val="0"/>
          <w:numId w:val="2"/>
        </w:numPr>
        <w:spacing w:after="60"/>
      </w:pPr>
      <w:r>
        <w:rPr>
          <w:sz w:val="20"/>
          <w:szCs w:val="20"/>
        </w:rPr>
        <w:t xml:space="preserve">Prong 3 &amp; 4 — Shoulder prongs: positioned at the widest point of each heart lobe (left and right rounded shoulders of the heart), symmetric about the centerline.</w:t>
      </w:r>
    </w:p>
    <w:p>
      <w:pPr>
        <w:pStyle w:val="Heading3"/>
        <w:spacing w:after="100" w:before="200"/>
      </w:pPr>
      <w:r>
        <w:rPr>
          <w:b/>
          <w:bCs/>
          <w:color w:val="2E6B4F"/>
          <w:sz w:val="21"/>
          <w:szCs w:val="21"/>
        </w:rPr>
        <w:t xml:space="preserve">5.2 Prong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shd w:fill="1F2D3D" w:val="clear"/>
            <w:tcMar>
              <w:top w:type="dxa" w:w="80"/>
              <w:left w:type="dxa" w:w="100"/>
              <w:bottom w:type="dxa" w:w="80"/>
              <w:right w:type="dxa" w:w="100"/>
            </w:tcMar>
            <w:vAlign w:val="center"/>
          </w:tcPr>
          <w:p>
            <w:pPr>
              <w:jc w:val="left"/>
            </w:pPr>
            <w:r>
              <w:rPr>
                <w:b/>
                <w:bCs/>
                <w:color w:val="FFFFFF"/>
                <w:sz w:val="18"/>
                <w:szCs w:val="18"/>
              </w:rPr>
              <w:t xml:space="preserve">Feature</w:t>
            </w:r>
          </w:p>
        </w:tc>
        <w:tc>
          <w:tcPr>
            <w:tcW w:type="dxa" w:w="6060"/>
            <w:shd w:fill="1F2D3D" w:val="clear"/>
            <w:tcMar>
              <w:top w:type="dxa" w:w="80"/>
              <w:left w:type="dxa" w:w="100"/>
              <w:bottom w:type="dxa" w:w="80"/>
              <w:right w:type="dxa" w:w="100"/>
            </w:tcMar>
            <w:vAlign w:val="center"/>
          </w:tcPr>
          <w:p>
            <w:pPr>
              <w:jc w:val="left"/>
            </w:pPr>
            <w:r>
              <w:rPr>
                <w:b/>
                <w:bCs/>
                <w:color w:val="FFFFFF"/>
                <w:sz w:val="18"/>
                <w:szCs w:val="18"/>
              </w:rPr>
              <w:t xml:space="preserve">Spec</w:t>
            </w:r>
          </w:p>
        </w:tc>
      </w:tr>
      <w:tr>
        <w:tc>
          <w:tcPr>
            <w:tcW w:type="dxa" w:w="33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Prong profile</w:t>
            </w:r>
          </w:p>
        </w:tc>
        <w:tc>
          <w:tcPr>
            <w:tcW w:type="dxa" w:w="6060"/>
            <w:tcMar>
              <w:top w:type="dxa" w:w="80"/>
              <w:left w:type="dxa" w:w="100"/>
              <w:bottom w:type="dxa" w:w="80"/>
              <w:right w:type="dxa" w:w="100"/>
            </w:tcMar>
            <w:vAlign w:val="center"/>
          </w:tcPr>
          <w:p>
            <w:pPr>
              <w:jc w:val="left"/>
            </w:pPr>
            <w:r>
              <w:rPr>
                <w:b w:val="false"/>
                <w:bCs w:val="false"/>
                <w:color w:val="222222"/>
                <w:sz w:val="18"/>
                <w:szCs w:val="18"/>
              </w:rPr>
              <w:t xml:space="preserve">Round, tapering claw — no faceted/square prongs</w:t>
            </w:r>
          </w:p>
        </w:tc>
      </w:tr>
      <w:tr>
        <w:tc>
          <w:tcPr>
            <w:tcW w:type="dxa" w:w="33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Base diameter</w:t>
            </w:r>
          </w:p>
        </w:tc>
        <w:tc>
          <w:tcPr>
            <w:tcW w:type="dxa" w:w="6060"/>
            <w:tcMar>
              <w:top w:type="dxa" w:w="80"/>
              <w:left w:type="dxa" w:w="100"/>
              <w:bottom w:type="dxa" w:w="80"/>
              <w:right w:type="dxa" w:w="100"/>
            </w:tcMar>
            <w:vAlign w:val="center"/>
          </w:tcPr>
          <w:p>
            <w:pPr>
              <w:jc w:val="left"/>
            </w:pPr>
            <w:r>
              <w:rPr>
                <w:b w:val="false"/>
                <w:bCs w:val="false"/>
                <w:color w:val="222222"/>
                <w:sz w:val="18"/>
                <w:szCs w:val="18"/>
              </w:rPr>
              <w:t xml:space="preserve">1.2 mm (±0.05 mm)</w:t>
            </w:r>
          </w:p>
        </w:tc>
      </w:tr>
      <w:tr>
        <w:tc>
          <w:tcPr>
            <w:tcW w:type="dxa" w:w="33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Tip diameter after finishing</w:t>
            </w:r>
          </w:p>
        </w:tc>
        <w:tc>
          <w:tcPr>
            <w:tcW w:type="dxa" w:w="6060"/>
            <w:tcMar>
              <w:top w:type="dxa" w:w="80"/>
              <w:left w:type="dxa" w:w="100"/>
              <w:bottom w:type="dxa" w:w="80"/>
              <w:right w:type="dxa" w:w="100"/>
            </w:tcMar>
            <w:vAlign w:val="center"/>
          </w:tcPr>
          <w:p>
            <w:pPr>
              <w:jc w:val="left"/>
            </w:pPr>
            <w:r>
              <w:rPr>
                <w:b w:val="false"/>
                <w:bCs w:val="false"/>
                <w:color w:val="222222"/>
                <w:sz w:val="18"/>
                <w:szCs w:val="18"/>
              </w:rPr>
              <w:t xml:space="preserve">0.8 mm (±0.05 mm)</w:t>
            </w:r>
          </w:p>
        </w:tc>
      </w:tr>
      <w:tr>
        <w:tc>
          <w:tcPr>
            <w:tcW w:type="dxa" w:w="33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Tip shape</w:t>
            </w:r>
          </w:p>
        </w:tc>
        <w:tc>
          <w:tcPr>
            <w:tcW w:type="dxa" w:w="6060"/>
            <w:tcMar>
              <w:top w:type="dxa" w:w="80"/>
              <w:left w:type="dxa" w:w="100"/>
              <w:bottom w:type="dxa" w:w="80"/>
              <w:right w:type="dxa" w:w="100"/>
            </w:tcMar>
            <w:vAlign w:val="center"/>
          </w:tcPr>
          <w:p>
            <w:pPr>
              <w:jc w:val="left"/>
            </w:pPr>
            <w:r>
              <w:rPr>
                <w:b w:val="false"/>
                <w:bCs w:val="false"/>
                <w:color w:val="222222"/>
                <w:sz w:val="18"/>
                <w:szCs w:val="18"/>
              </w:rPr>
              <w:t xml:space="preserve">Rounded bead tip (snag-free) — cleft prong (Prong 2) is split/notched per 5.1</w:t>
            </w:r>
          </w:p>
        </w:tc>
      </w:tr>
      <w:tr>
        <w:tc>
          <w:tcPr>
            <w:tcW w:type="dxa" w:w="33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Metal coverage over crown/girdle</w:t>
            </w:r>
          </w:p>
        </w:tc>
        <w:tc>
          <w:tcPr>
            <w:tcW w:type="dxa" w:w="6060"/>
            <w:tcMar>
              <w:top w:type="dxa" w:w="80"/>
              <w:left w:type="dxa" w:w="100"/>
              <w:bottom w:type="dxa" w:w="80"/>
              <w:right w:type="dxa" w:w="100"/>
            </w:tcMar>
            <w:vAlign w:val="center"/>
          </w:tcPr>
          <w:p>
            <w:pPr>
              <w:jc w:val="left"/>
            </w:pPr>
            <w:r>
              <w:rPr>
                <w:b w:val="false"/>
                <w:bCs w:val="false"/>
                <w:color w:val="222222"/>
                <w:sz w:val="18"/>
                <w:szCs w:val="18"/>
              </w:rPr>
              <w:t xml:space="preserve">0.6–0.8 mm per prong, enough to lock the girdle without covering table-facing facets</w:t>
            </w:r>
          </w:p>
        </w:tc>
      </w:tr>
      <w:tr>
        <w:tc>
          <w:tcPr>
            <w:tcW w:type="dxa" w:w="33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Prong-to-gallery attachment</w:t>
            </w:r>
          </w:p>
        </w:tc>
        <w:tc>
          <w:tcPr>
            <w:tcW w:type="dxa" w:w="6060"/>
            <w:tcMar>
              <w:top w:type="dxa" w:w="80"/>
              <w:left w:type="dxa" w:w="100"/>
              <w:bottom w:type="dxa" w:w="80"/>
              <w:right w:type="dxa" w:w="100"/>
            </w:tcMar>
            <w:vAlign w:val="center"/>
          </w:tcPr>
          <w:p>
            <w:pPr>
              <w:jc w:val="left"/>
            </w:pPr>
            <w:r>
              <w:rPr>
                <w:b w:val="false"/>
                <w:bCs w:val="false"/>
                <w:color w:val="222222"/>
                <w:sz w:val="18"/>
                <w:szCs w:val="18"/>
              </w:rPr>
              <w:t xml:space="preserve">Cast integral to basket — no soldered-on prongs</w:t>
            </w:r>
          </w:p>
        </w:tc>
      </w:tr>
    </w:tbl>
    <w:p>
      <w:pPr>
        <w:spacing w:before="200"/>
      </w:pPr>
    </w:p>
    <w:p>
      <w:pPr>
        <w:pStyle w:val="Heading3"/>
        <w:spacing w:after="100" w:before="200"/>
      </w:pPr>
      <w:r>
        <w:rPr>
          <w:b/>
          <w:bCs/>
          <w:color w:val="2E6B4F"/>
          <w:sz w:val="21"/>
          <w:szCs w:val="21"/>
        </w:rPr>
        <w:t xml:space="preserve">5.3 Gallery / Basket</w:t>
      </w:r>
    </w:p>
    <w:p>
      <w:pPr>
        <w:pStyle w:val="ListParagraph"/>
        <w:numPr>
          <w:ilvl w:val="0"/>
          <w:numId w:val="2"/>
        </w:numPr>
        <w:spacing w:after="60"/>
      </w:pPr>
      <w:r>
        <w:rPr>
          <w:sz w:val="20"/>
          <w:szCs w:val="20"/>
        </w:rPr>
        <w:t xml:space="preserve">Open 4-rail basket (one rail feeding each prong) to allow light transmission through the pavilion — supports "brilliant cut" visual intent.</w:t>
      </w:r>
    </w:p>
    <w:p>
      <w:pPr>
        <w:pStyle w:val="ListParagraph"/>
        <w:numPr>
          <w:ilvl w:val="0"/>
          <w:numId w:val="2"/>
        </w:numPr>
        <w:spacing w:after="60"/>
      </w:pPr>
      <w:r>
        <w:rPr>
          <w:sz w:val="20"/>
          <w:szCs w:val="20"/>
        </w:rPr>
        <w:t xml:space="preserve">Basket wire gauge: 1.0 mm round, matched to shank metal for uniform patina.</w:t>
      </w:r>
    </w:p>
    <w:p>
      <w:pPr>
        <w:pStyle w:val="ListParagraph"/>
        <w:numPr>
          <w:ilvl w:val="0"/>
          <w:numId w:val="2"/>
        </w:numPr>
        <w:spacing w:after="60"/>
      </w:pPr>
      <w:r>
        <w:rPr>
          <w:sz w:val="20"/>
          <w:szCs w:val="20"/>
        </w:rPr>
        <w:t xml:space="preserve">Seat cut to the exact pavilion angle of the approved heart-brilliant stone — seat must be re-cut in CAD after the physical stone's actual depth % is confirmed (Section 4).</w:t>
      </w:r>
    </w:p>
    <w:p>
      <w:pPr>
        <w:pStyle w:val="Heading1"/>
        <w:pBdr>
          <w:bottom w:val="single" w:color="2E6B4F" w:sz="8" w:space="4"/>
        </w:pBdr>
        <w:spacing w:after="200" w:before="400"/>
      </w:pPr>
      <w:r>
        <w:rPr>
          <w:b/>
          <w:bCs/>
          <w:color w:val="1F2D3D"/>
          <w:sz w:val="30"/>
          <w:szCs w:val="30"/>
        </w:rPr>
        <w:t xml:space="preserve">6. Chain-Link / Infinity Motif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CECEC" w:val="clear"/>
            <w:tcMar>
              <w:top w:type="dxa" w:w="120"/>
              <w:left w:type="dxa" w:w="150"/>
              <w:bottom w:type="dxa" w:w="120"/>
              <w:right w:type="dxa" w:w="150"/>
            </w:tcMar>
          </w:tcPr>
          <w:p>
            <w:r>
              <w:rPr>
                <w:b/>
                <w:bCs/>
                <w:color w:val="8A1C1C"/>
                <w:sz w:val="20"/>
                <w:szCs w:val="20"/>
              </w:rPr>
              <w:t xml:space="preserve">⚠ PENDING / FLAGGED FOR CLIENT CONFIRMATION: </w:t>
            </w:r>
            <w:r>
              <w:rPr>
                <w:color w:val="8A1C1C"/>
                <w:sz w:val="20"/>
                <w:szCs w:val="20"/>
              </w:rPr>
              <w:t xml:space="preserve">This entire section is a fill-in template. No reference images were available when this package was generated. Do not release Section 6 to CAD/tooling until every field below is completed against the four client reference images.</w:t>
            </w:r>
          </w:p>
        </w:tc>
      </w:tr>
    </w:tbl>
    <w:p>
      <w:pPr>
        <w:pStyle w:val="Heading3"/>
        <w:spacing w:after="100" w:before="200"/>
      </w:pPr>
      <w:r>
        <w:rPr>
          <w:b/>
          <w:bCs/>
          <w:color w:val="2E6B4F"/>
          <w:sz w:val="21"/>
          <w:szCs w:val="21"/>
        </w:rPr>
        <w:t xml:space="preserve">6.1 Fields to Confirm Against Reference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2D3D" w:val="clear"/>
            <w:tcMar>
              <w:top w:type="dxa" w:w="80"/>
              <w:left w:type="dxa" w:w="100"/>
              <w:bottom w:type="dxa" w:w="80"/>
              <w:right w:type="dxa" w:w="100"/>
            </w:tcMar>
            <w:vAlign w:val="center"/>
          </w:tcPr>
          <w:p>
            <w:pPr>
              <w:jc w:val="left"/>
            </w:pPr>
            <w:r>
              <w:rPr>
                <w:b/>
                <w:bCs/>
                <w:color w:val="FFFFFF"/>
                <w:sz w:val="18"/>
                <w:szCs w:val="18"/>
              </w:rPr>
              <w:t xml:space="preserve">Field</w:t>
            </w:r>
          </w:p>
        </w:tc>
        <w:tc>
          <w:tcPr>
            <w:tcW w:type="dxa" w:w="5760"/>
            <w:shd w:fill="1F2D3D" w:val="clear"/>
            <w:tcMar>
              <w:top w:type="dxa" w:w="80"/>
              <w:left w:type="dxa" w:w="100"/>
              <w:bottom w:type="dxa" w:w="80"/>
              <w:right w:type="dxa" w:w="100"/>
            </w:tcMar>
            <w:vAlign w:val="center"/>
          </w:tcPr>
          <w:p>
            <w:pPr>
              <w:jc w:val="left"/>
            </w:pPr>
            <w:r>
              <w:rPr>
                <w:b/>
                <w:bCs/>
                <w:color w:val="FFFFFF"/>
                <w:sz w:val="18"/>
                <w:szCs w:val="18"/>
              </w:rPr>
              <w:t xml:space="preserve">To be confirmed</w:t>
            </w:r>
          </w:p>
        </w:tc>
      </w:tr>
      <w:tr>
        <w:tc>
          <w:tcPr>
            <w:tcW w:type="dxa" w:w="3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Motif type</w:t>
            </w:r>
          </w:p>
        </w:tc>
        <w:tc>
          <w:tcPr>
            <w:tcW w:type="dxa" w:w="5760"/>
            <w:tcMar>
              <w:top w:type="dxa" w:w="80"/>
              <w:left w:type="dxa" w:w="100"/>
              <w:bottom w:type="dxa" w:w="80"/>
              <w:right w:type="dxa" w:w="100"/>
            </w:tcMar>
            <w:vAlign w:val="center"/>
          </w:tcPr>
          <w:p>
            <w:pPr>
              <w:jc w:val="left"/>
            </w:pPr>
            <w:r>
              <w:rPr>
                <w:b w:val="false"/>
                <w:bCs w:val="false"/>
                <w:color w:val="222222"/>
                <w:sz w:val="18"/>
                <w:szCs w:val="18"/>
              </w:rPr>
              <w:t xml:space="preserve">Static sculptural chain-link vs. articulated/moving links vs. infinity-loop (figure-8) vs. hybrid — CONFIRM</w:t>
            </w:r>
          </w:p>
        </w:tc>
      </w:tr>
      <w:tr>
        <w:tc>
          <w:tcPr>
            <w:tcW w:type="dxa" w:w="3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Link count per shoulder</w:t>
            </w:r>
          </w:p>
        </w:tc>
        <w:tc>
          <w:tcPr>
            <w:tcW w:type="dxa" w:w="5760"/>
            <w:tcMar>
              <w:top w:type="dxa" w:w="80"/>
              <w:left w:type="dxa" w:w="100"/>
              <w:bottom w:type="dxa" w:w="80"/>
              <w:right w:type="dxa" w:w="100"/>
            </w:tcMar>
            <w:vAlign w:val="center"/>
          </w:tcPr>
          <w:p>
            <w:pPr>
              <w:jc w:val="left"/>
            </w:pPr>
            <w:r>
              <w:rPr>
                <w:b w:val="false"/>
                <w:bCs w:val="false"/>
                <w:color w:val="222222"/>
                <w:sz w:val="18"/>
                <w:szCs w:val="18"/>
              </w:rPr>
              <w:t xml:space="preserve">TBD from images</w:t>
            </w:r>
          </w:p>
        </w:tc>
      </w:tr>
      <w:tr>
        <w:tc>
          <w:tcPr>
            <w:tcW w:type="dxa" w:w="3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Link shape</w:t>
            </w:r>
          </w:p>
        </w:tc>
        <w:tc>
          <w:tcPr>
            <w:tcW w:type="dxa" w:w="5760"/>
            <w:tcMar>
              <w:top w:type="dxa" w:w="80"/>
              <w:left w:type="dxa" w:w="100"/>
              <w:bottom w:type="dxa" w:w="80"/>
              <w:right w:type="dxa" w:w="100"/>
            </w:tcMar>
            <w:vAlign w:val="center"/>
          </w:tcPr>
          <w:p>
            <w:pPr>
              <w:jc w:val="left"/>
            </w:pPr>
            <w:r>
              <w:rPr>
                <w:b w:val="false"/>
                <w:bCs w:val="false"/>
                <w:color w:val="222222"/>
                <w:sz w:val="18"/>
                <w:szCs w:val="18"/>
              </w:rPr>
              <w:t xml:space="preserve">Oval / round / elongated — TBD</w:t>
            </w:r>
          </w:p>
        </w:tc>
      </w:tr>
      <w:tr>
        <w:tc>
          <w:tcPr>
            <w:tcW w:type="dxa" w:w="3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Link internal opening (visible "hole")</w:t>
            </w:r>
          </w:p>
        </w:tc>
        <w:tc>
          <w:tcPr>
            <w:tcW w:type="dxa" w:w="5760"/>
            <w:tcMar>
              <w:top w:type="dxa" w:w="80"/>
              <w:left w:type="dxa" w:w="100"/>
              <w:bottom w:type="dxa" w:w="80"/>
              <w:right w:type="dxa" w:w="100"/>
            </w:tcMar>
            <w:vAlign w:val="center"/>
          </w:tcPr>
          <w:p>
            <w:pPr>
              <w:jc w:val="left"/>
            </w:pPr>
            <w:r>
              <w:rPr>
                <w:b w:val="false"/>
                <w:bCs w:val="false"/>
                <w:color w:val="222222"/>
                <w:sz w:val="18"/>
                <w:szCs w:val="18"/>
              </w:rPr>
              <w:t xml:space="preserve">TBD — affects castability, min. recommended 0.8 mm clear opening</w:t>
            </w:r>
          </w:p>
        </w:tc>
      </w:tr>
      <w:tr>
        <w:tc>
          <w:tcPr>
            <w:tcW w:type="dxa" w:w="3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Wire gauge of each link</w:t>
            </w:r>
          </w:p>
        </w:tc>
        <w:tc>
          <w:tcPr>
            <w:tcW w:type="dxa" w:w="5760"/>
            <w:tcMar>
              <w:top w:type="dxa" w:w="80"/>
              <w:left w:type="dxa" w:w="100"/>
              <w:bottom w:type="dxa" w:w="80"/>
              <w:right w:type="dxa" w:w="100"/>
            </w:tcMar>
            <w:vAlign w:val="center"/>
          </w:tcPr>
          <w:p>
            <w:pPr>
              <w:jc w:val="left"/>
            </w:pPr>
            <w:r>
              <w:rPr>
                <w:b w:val="false"/>
                <w:bCs w:val="false"/>
                <w:color w:val="222222"/>
                <w:sz w:val="18"/>
                <w:szCs w:val="18"/>
              </w:rPr>
              <w:t xml:space="preserve">TBD — recommend 1.0–1.4 mm round or half-round for structural strength in cast silver</w:t>
            </w:r>
          </w:p>
        </w:tc>
      </w:tr>
      <w:tr>
        <w:tc>
          <w:tcPr>
            <w:tcW w:type="dxa" w:w="3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Link pitch / overlap spacing</w:t>
            </w:r>
          </w:p>
        </w:tc>
        <w:tc>
          <w:tcPr>
            <w:tcW w:type="dxa" w:w="5760"/>
            <w:tcMar>
              <w:top w:type="dxa" w:w="80"/>
              <w:left w:type="dxa" w:w="100"/>
              <w:bottom w:type="dxa" w:w="80"/>
              <w:right w:type="dxa" w:w="100"/>
            </w:tcMar>
            <w:vAlign w:val="center"/>
          </w:tcPr>
          <w:p>
            <w:pPr>
              <w:jc w:val="left"/>
            </w:pPr>
            <w:r>
              <w:rPr>
                <w:b w:val="false"/>
                <w:bCs w:val="false"/>
                <w:color w:val="222222"/>
                <w:sz w:val="18"/>
                <w:szCs w:val="18"/>
              </w:rPr>
              <w:t xml:space="preserve">TBD</w:t>
            </w:r>
          </w:p>
        </w:tc>
      </w:tr>
      <w:tr>
        <w:tc>
          <w:tcPr>
            <w:tcW w:type="dxa" w:w="3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Orientation (links flat vs. links twisted 90° at intervals, true-chain style)</w:t>
            </w:r>
          </w:p>
        </w:tc>
        <w:tc>
          <w:tcPr>
            <w:tcW w:type="dxa" w:w="5760"/>
            <w:tcMar>
              <w:top w:type="dxa" w:w="80"/>
              <w:left w:type="dxa" w:w="100"/>
              <w:bottom w:type="dxa" w:w="80"/>
              <w:right w:type="dxa" w:w="100"/>
            </w:tcMar>
            <w:vAlign w:val="center"/>
          </w:tcPr>
          <w:p>
            <w:pPr>
              <w:jc w:val="left"/>
            </w:pPr>
            <w:r>
              <w:rPr>
                <w:b w:val="false"/>
                <w:bCs w:val="false"/>
                <w:color w:val="222222"/>
                <w:sz w:val="18"/>
                <w:szCs w:val="18"/>
              </w:rPr>
              <w:t xml:space="preserve">TBD</w:t>
            </w:r>
          </w:p>
        </w:tc>
      </w:tr>
      <w:tr>
        <w:tc>
          <w:tcPr>
            <w:tcW w:type="dxa" w:w="3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Symmetry rule</w:t>
            </w:r>
          </w:p>
        </w:tc>
        <w:tc>
          <w:tcPr>
            <w:tcW w:type="dxa" w:w="5760"/>
            <w:tcMar>
              <w:top w:type="dxa" w:w="80"/>
              <w:left w:type="dxa" w:w="100"/>
              <w:bottom w:type="dxa" w:w="80"/>
              <w:right w:type="dxa" w:w="100"/>
            </w:tcMar>
            <w:vAlign w:val="center"/>
          </w:tcPr>
          <w:p>
            <w:pPr>
              <w:jc w:val="left"/>
            </w:pPr>
            <w:r>
              <w:rPr>
                <w:b w:val="false"/>
                <w:bCs w:val="false"/>
                <w:color w:val="222222"/>
                <w:sz w:val="18"/>
                <w:szCs w:val="18"/>
              </w:rPr>
              <w:t xml:space="preserve">Left shoulder must mirror right shoulder exactly (not rotationally identical — true mirror image)</w:t>
            </w:r>
          </w:p>
        </w:tc>
      </w:tr>
      <w:tr>
        <w:tc>
          <w:tcPr>
            <w:tcW w:type="dxa" w:w="3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Transition into shank</w:t>
            </w:r>
          </w:p>
        </w:tc>
        <w:tc>
          <w:tcPr>
            <w:tcW w:type="dxa" w:w="5760"/>
            <w:tcMar>
              <w:top w:type="dxa" w:w="80"/>
              <w:left w:type="dxa" w:w="100"/>
              <w:bottom w:type="dxa" w:w="80"/>
              <w:right w:type="dxa" w:w="100"/>
            </w:tcMar>
            <w:vAlign w:val="center"/>
          </w:tcPr>
          <w:p>
            <w:pPr>
              <w:jc w:val="left"/>
            </w:pPr>
            <w:r>
              <w:rPr>
                <w:b w:val="false"/>
                <w:bCs w:val="false"/>
                <w:color w:val="222222"/>
                <w:sz w:val="18"/>
                <w:szCs w:val="18"/>
              </w:rPr>
              <w:t xml:space="preserve">TBD — whether motif fades into plain shank or terminates abruptly at a collar</w:t>
            </w:r>
          </w:p>
        </w:tc>
      </w:tr>
      <w:tr>
        <w:tc>
          <w:tcPr>
            <w:tcW w:type="dxa" w:w="3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Transition into basket/gallery</w:t>
            </w:r>
          </w:p>
        </w:tc>
        <w:tc>
          <w:tcPr>
            <w:tcW w:type="dxa" w:w="5760"/>
            <w:tcMar>
              <w:top w:type="dxa" w:w="80"/>
              <w:left w:type="dxa" w:w="100"/>
              <w:bottom w:type="dxa" w:w="80"/>
              <w:right w:type="dxa" w:w="100"/>
            </w:tcMar>
            <w:vAlign w:val="center"/>
          </w:tcPr>
          <w:p>
            <w:pPr>
              <w:jc w:val="left"/>
            </w:pPr>
            <w:r>
              <w:rPr>
                <w:b w:val="false"/>
                <w:bCs w:val="false"/>
                <w:color w:val="222222"/>
                <w:sz w:val="18"/>
                <w:szCs w:val="18"/>
              </w:rPr>
              <w:t xml:space="preserve">TBD — how top-most link meets the prong basket</w:t>
            </w:r>
          </w:p>
        </w:tc>
      </w:tr>
    </w:tbl>
    <w:p>
      <w:pPr>
        <w:pStyle w:val="Heading3"/>
        <w:spacing w:after="100" w:before="200"/>
      </w:pPr>
      <w:r>
        <w:rPr>
          <w:b/>
          <w:bCs/>
          <w:color w:val="2E6B4F"/>
          <w:sz w:val="21"/>
          <w:szCs w:val="21"/>
        </w:rPr>
        <w:t xml:space="preserve">6.2 Structural / Manufacturing Decision Required</w:t>
      </w:r>
    </w:p>
    <w:p>
      <w:pPr>
        <w:spacing w:after="120"/>
      </w:pPr>
      <w:r>
        <w:rPr>
          <w:sz w:val="20"/>
          <w:szCs w:val="20"/>
        </w:rPr>
        <w:t xml:space="preserve">Two fundamentally different builds are possible and must be decided before CAD starts, since they change tolerances, printing method, and cost:</w:t>
      </w:r>
    </w:p>
    <w:p>
      <w:pPr>
        <w:pStyle w:val="ListParagraph"/>
        <w:numPr>
          <w:ilvl w:val="0"/>
          <w:numId w:val="2"/>
        </w:numPr>
        <w:spacing w:after="60"/>
      </w:pPr>
      <w:r>
        <w:rPr>
          <w:sz w:val="20"/>
          <w:szCs w:val="20"/>
        </w:rPr>
        <w:t xml:space="preserve">Option A — Cast solid motif (recommended default): links are modeled and cast as one fused piece with the shank/basket. Visually reads as chain-link but does not move. Stronger, cheaper, standard for this kind of ring.</w:t>
      </w:r>
    </w:p>
    <w:p>
      <w:pPr>
        <w:pStyle w:val="ListParagraph"/>
        <w:numPr>
          <w:ilvl w:val="0"/>
          <w:numId w:val="2"/>
        </w:numPr>
        <w:spacing w:after="60"/>
      </w:pPr>
      <w:r>
        <w:rPr>
          <w:sz w:val="20"/>
          <w:szCs w:val="20"/>
        </w:rPr>
        <w:t xml:space="preserve">Option B — Articulated/functional links: links are cast or fabricated separately and mechanically joined so they move. Adds significant cost, fragility, and assembly steps; typically reserved for pieces where the chain motion itself is the point (e.g., a bracelet).</w:t>
      </w:r>
    </w:p>
    <w:p>
      <w:pPr>
        <w:spacing w:after="120"/>
      </w:pPr>
      <w:r>
        <w:rPr>
          <w:sz w:val="20"/>
          <w:szCs w:val="20"/>
        </w:rPr>
        <w:t xml:space="preserve">Recommendation: Option A, unless the reference images clearly show the links must swing/rotate independently — flag to client for explicit sign-off either way.</w:t>
      </w:r>
    </w:p>
    <w:p>
      <w:pPr>
        <w:pStyle w:val="Heading1"/>
        <w:pBdr>
          <w:bottom w:val="single" w:color="2E6B4F" w:sz="8" w:space="4"/>
        </w:pBdr>
        <w:spacing w:after="200" w:before="400"/>
      </w:pPr>
      <w:r>
        <w:rPr>
          <w:b/>
          <w:bCs/>
          <w:color w:val="1F2D3D"/>
          <w:sz w:val="30"/>
          <w:szCs w:val="30"/>
        </w:rPr>
        <w:t xml:space="preserve">7. Shank &amp; Band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1F2D3D" w:val="clear"/>
            <w:tcMar>
              <w:top w:type="dxa" w:w="80"/>
              <w:left w:type="dxa" w:w="100"/>
              <w:bottom w:type="dxa" w:w="80"/>
              <w:right w:type="dxa" w:w="100"/>
            </w:tcMar>
            <w:vAlign w:val="center"/>
          </w:tcPr>
          <w:p>
            <w:pPr>
              <w:jc w:val="left"/>
            </w:pPr>
            <w:r>
              <w:rPr>
                <w:b/>
                <w:bCs/>
                <w:color w:val="FFFFFF"/>
                <w:sz w:val="18"/>
                <w:szCs w:val="18"/>
              </w:rPr>
              <w:t xml:space="preserve">Feature</w:t>
            </w:r>
          </w:p>
        </w:tc>
        <w:tc>
          <w:tcPr>
            <w:tcW w:type="dxa" w:w="5860"/>
            <w:shd w:fill="1F2D3D" w:val="clear"/>
            <w:tcMar>
              <w:top w:type="dxa" w:w="80"/>
              <w:left w:type="dxa" w:w="100"/>
              <w:bottom w:type="dxa" w:w="80"/>
              <w:right w:type="dxa" w:w="100"/>
            </w:tcMar>
            <w:vAlign w:val="center"/>
          </w:tcPr>
          <w:p>
            <w:pPr>
              <w:jc w:val="left"/>
            </w:pPr>
            <w:r>
              <w:rPr>
                <w:b/>
                <w:bCs/>
                <w:color w:val="FFFFFF"/>
                <w:sz w:val="18"/>
                <w:szCs w:val="18"/>
              </w:rPr>
              <w:t xml:space="preserve">Spec</w:t>
            </w:r>
          </w:p>
        </w:tc>
      </w:tr>
      <w:tr>
        <w:tc>
          <w:tcPr>
            <w:tcW w:type="dxa" w:w="3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Profile (exterior)</w:t>
            </w:r>
          </w:p>
        </w:tc>
        <w:tc>
          <w:tcPr>
            <w:tcW w:type="dxa" w:w="5860"/>
            <w:tcMar>
              <w:top w:type="dxa" w:w="80"/>
              <w:left w:type="dxa" w:w="100"/>
              <w:bottom w:type="dxa" w:w="80"/>
              <w:right w:type="dxa" w:w="100"/>
            </w:tcMar>
            <w:vAlign w:val="center"/>
          </w:tcPr>
          <w:p>
            <w:pPr>
              <w:jc w:val="left"/>
            </w:pPr>
            <w:r>
              <w:rPr>
                <w:b w:val="false"/>
                <w:bCs w:val="false"/>
                <w:color w:val="222222"/>
                <w:sz w:val="18"/>
                <w:szCs w:val="18"/>
              </w:rPr>
              <w:t xml:space="preserve">Half-round / D-profile</w:t>
            </w:r>
          </w:p>
        </w:tc>
      </w:tr>
      <w:tr>
        <w:tc>
          <w:tcPr>
            <w:tcW w:type="dxa" w:w="3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Profile (interior)</w:t>
            </w:r>
          </w:p>
        </w:tc>
        <w:tc>
          <w:tcPr>
            <w:tcW w:type="dxa" w:w="5860"/>
            <w:tcMar>
              <w:top w:type="dxa" w:w="80"/>
              <w:left w:type="dxa" w:w="100"/>
              <w:bottom w:type="dxa" w:w="80"/>
              <w:right w:type="dxa" w:w="100"/>
            </w:tcMar>
            <w:vAlign w:val="center"/>
          </w:tcPr>
          <w:p>
            <w:pPr>
              <w:jc w:val="left"/>
            </w:pPr>
            <w:r>
              <w:rPr>
                <w:b w:val="false"/>
                <w:bCs w:val="false"/>
                <w:color w:val="222222"/>
                <w:sz w:val="18"/>
                <w:szCs w:val="18"/>
              </w:rPr>
              <w:t xml:space="preserve">Flat, lightly rounded edges (comfort-fit) for all-day wear</w:t>
            </w:r>
          </w:p>
        </w:tc>
      </w:tr>
      <w:tr>
        <w:tc>
          <w:tcPr>
            <w:tcW w:type="dxa" w:w="3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Inner diameter</w:t>
            </w:r>
          </w:p>
        </w:tc>
        <w:tc>
          <w:tcPr>
            <w:tcW w:type="dxa" w:w="5860"/>
            <w:tcMar>
              <w:top w:type="dxa" w:w="80"/>
              <w:left w:type="dxa" w:w="100"/>
              <w:bottom w:type="dxa" w:w="80"/>
              <w:right w:type="dxa" w:w="100"/>
            </w:tcMar>
            <w:vAlign w:val="center"/>
          </w:tcPr>
          <w:p>
            <w:pPr>
              <w:jc w:val="left"/>
            </w:pPr>
            <w:r>
              <w:rPr>
                <w:b w:val="false"/>
                <w:bCs w:val="false"/>
                <w:color w:val="222222"/>
                <w:sz w:val="18"/>
                <w:szCs w:val="18"/>
              </w:rPr>
              <w:t xml:space="preserve">17.3 mm ±0.1 mm (US 7)</w:t>
            </w:r>
          </w:p>
        </w:tc>
      </w:tr>
      <w:tr>
        <w:tc>
          <w:tcPr>
            <w:tcW w:type="dxa" w:w="3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Width at base (6 o'clock, narrowest)</w:t>
            </w:r>
          </w:p>
        </w:tc>
        <w:tc>
          <w:tcPr>
            <w:tcW w:type="dxa" w:w="5860"/>
            <w:tcMar>
              <w:top w:type="dxa" w:w="80"/>
              <w:left w:type="dxa" w:w="100"/>
              <w:bottom w:type="dxa" w:w="80"/>
              <w:right w:type="dxa" w:w="100"/>
            </w:tcMar>
            <w:vAlign w:val="center"/>
          </w:tcPr>
          <w:p>
            <w:pPr>
              <w:jc w:val="left"/>
            </w:pPr>
            <w:r>
              <w:rPr>
                <w:b w:val="false"/>
                <w:bCs w:val="false"/>
                <w:color w:val="222222"/>
                <w:sz w:val="18"/>
                <w:szCs w:val="18"/>
              </w:rPr>
              <w:t xml:space="preserve">1.8 mm ±0.1 mm</w:t>
            </w:r>
          </w:p>
        </w:tc>
      </w:tr>
      <w:tr>
        <w:tc>
          <w:tcPr>
            <w:tcW w:type="dxa" w:w="3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Width at shoulder (12 o'clock approach)</w:t>
            </w:r>
          </w:p>
        </w:tc>
        <w:tc>
          <w:tcPr>
            <w:tcW w:type="dxa" w:w="5860"/>
            <w:tcMar>
              <w:top w:type="dxa" w:w="80"/>
              <w:left w:type="dxa" w:w="100"/>
              <w:bottom w:type="dxa" w:w="80"/>
              <w:right w:type="dxa" w:w="100"/>
            </w:tcMar>
            <w:vAlign w:val="center"/>
          </w:tcPr>
          <w:p>
            <w:pPr>
              <w:jc w:val="left"/>
            </w:pPr>
            <w:r>
              <w:rPr>
                <w:b w:val="false"/>
                <w:bCs w:val="false"/>
                <w:color w:val="222222"/>
                <w:sz w:val="18"/>
                <w:szCs w:val="18"/>
              </w:rPr>
              <w:t xml:space="preserve">2.2–2.4 mm ±0.15 mm, widening to meet motif</w:t>
            </w:r>
          </w:p>
        </w:tc>
      </w:tr>
      <w:tr>
        <w:tc>
          <w:tcPr>
            <w:tcW w:type="dxa" w:w="3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Thickness (metal depth) at base</w:t>
            </w:r>
          </w:p>
        </w:tc>
        <w:tc>
          <w:tcPr>
            <w:tcW w:type="dxa" w:w="5860"/>
            <w:tcMar>
              <w:top w:type="dxa" w:w="80"/>
              <w:left w:type="dxa" w:w="100"/>
              <w:bottom w:type="dxa" w:w="80"/>
              <w:right w:type="dxa" w:w="100"/>
            </w:tcMar>
            <w:vAlign w:val="center"/>
          </w:tcPr>
          <w:p>
            <w:pPr>
              <w:jc w:val="left"/>
            </w:pPr>
            <w:r>
              <w:rPr>
                <w:b w:val="false"/>
                <w:bCs w:val="false"/>
                <w:color w:val="222222"/>
                <w:sz w:val="18"/>
                <w:szCs w:val="18"/>
              </w:rPr>
              <w:t xml:space="preserve">1.5 mm ±0.1 mm</w:t>
            </w:r>
          </w:p>
        </w:tc>
      </w:tr>
      <w:tr>
        <w:tc>
          <w:tcPr>
            <w:tcW w:type="dxa" w:w="3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Sizing allowance</w:t>
            </w:r>
          </w:p>
        </w:tc>
        <w:tc>
          <w:tcPr>
            <w:tcW w:type="dxa" w:w="5860"/>
            <w:tcMar>
              <w:top w:type="dxa" w:w="80"/>
              <w:left w:type="dxa" w:w="100"/>
              <w:bottom w:type="dxa" w:w="80"/>
              <w:right w:type="dxa" w:w="100"/>
            </w:tcMar>
            <w:vAlign w:val="center"/>
          </w:tcPr>
          <w:p>
            <w:pPr>
              <w:jc w:val="left"/>
            </w:pPr>
            <w:r>
              <w:rPr>
                <w:b w:val="false"/>
                <w:bCs w:val="false"/>
                <w:color w:val="222222"/>
                <w:sz w:val="18"/>
                <w:szCs w:val="18"/>
              </w:rPr>
              <w:t xml:space="preserve">Design and cast at exact target size; do not rely on post-cast stretching to hit size — stretching after the motif is cast risks distorting the chain-link pattern</w:t>
            </w:r>
          </w:p>
        </w:tc>
      </w:tr>
    </w:tbl>
    <w:p>
      <w:pPr>
        <w:pStyle w:val="Heading1"/>
        <w:pBdr>
          <w:bottom w:val="single" w:color="2E6B4F" w:sz="8" w:space="4"/>
        </w:pBdr>
        <w:spacing w:after="200" w:before="400"/>
      </w:pPr>
      <w:r>
        <w:rPr>
          <w:b/>
          <w:bCs/>
          <w:color w:val="1F2D3D"/>
          <w:sz w:val="30"/>
          <w:szCs w:val="30"/>
        </w:rPr>
        <w:t xml:space="preserve">8. Finish &amp; Surface Treatment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2D3D" w:val="clear"/>
            <w:tcMar>
              <w:top w:type="dxa" w:w="80"/>
              <w:left w:type="dxa" w:w="100"/>
              <w:bottom w:type="dxa" w:w="80"/>
              <w:right w:type="dxa" w:w="100"/>
            </w:tcMar>
            <w:vAlign w:val="center"/>
          </w:tcPr>
          <w:p>
            <w:pPr>
              <w:jc w:val="left"/>
            </w:pPr>
            <w:r>
              <w:rPr>
                <w:b/>
                <w:bCs/>
                <w:color w:val="FFFFFF"/>
                <w:sz w:val="18"/>
                <w:szCs w:val="18"/>
              </w:rPr>
              <w:t xml:space="preserve">Stage</w:t>
            </w:r>
          </w:p>
        </w:tc>
        <w:tc>
          <w:tcPr>
            <w:tcW w:type="dxa" w:w="6760"/>
            <w:shd w:fill="1F2D3D" w:val="clear"/>
            <w:tcMar>
              <w:top w:type="dxa" w:w="80"/>
              <w:left w:type="dxa" w:w="100"/>
              <w:bottom w:type="dxa" w:w="80"/>
              <w:right w:type="dxa" w:w="100"/>
            </w:tcMar>
            <w:vAlign w:val="center"/>
          </w:tcPr>
          <w:p>
            <w:pPr>
              <w:jc w:val="left"/>
            </w:pPr>
            <w:r>
              <w:rPr>
                <w:b/>
                <w:bCs/>
                <w:color w:val="FFFFFF"/>
                <w:sz w:val="18"/>
                <w:szCs w:val="18"/>
              </w:rPr>
              <w:t xml:space="preserve">Requirement</w:t>
            </w:r>
          </w:p>
        </w:tc>
      </w:tr>
      <w:tr>
        <w:tc>
          <w:tcPr>
            <w:tcW w:type="dxa" w:w="2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Initial finish</w:t>
            </w:r>
          </w:p>
        </w:tc>
        <w:tc>
          <w:tcPr>
            <w:tcW w:type="dxa" w:w="6760"/>
            <w:tcMar>
              <w:top w:type="dxa" w:w="80"/>
              <w:left w:type="dxa" w:w="100"/>
              <w:bottom w:type="dxa" w:w="80"/>
              <w:right w:type="dxa" w:w="100"/>
            </w:tcMar>
            <w:vAlign w:val="center"/>
          </w:tcPr>
          <w:p>
            <w:pPr>
              <w:jc w:val="left"/>
            </w:pPr>
            <w:r>
              <w:rPr>
                <w:b w:val="false"/>
                <w:bCs w:val="false"/>
                <w:color w:val="222222"/>
                <w:sz w:val="18"/>
                <w:szCs w:val="18"/>
              </w:rPr>
              <w:t xml:space="preserve">High polish / mirror finish, Class-A jewelry standard, all surfaces including motif undercuts</w:t>
            </w:r>
          </w:p>
        </w:tc>
      </w:tr>
      <w:tr>
        <w:tc>
          <w:tcPr>
            <w:tcW w:type="dxa" w:w="2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Plating</w:t>
            </w:r>
          </w:p>
        </w:tc>
        <w:tc>
          <w:tcPr>
            <w:tcW w:type="dxa" w:w="6760"/>
            <w:tcMar>
              <w:top w:type="dxa" w:w="80"/>
              <w:left w:type="dxa" w:w="100"/>
              <w:bottom w:type="dxa" w:w="80"/>
              <w:right w:type="dxa" w:w="100"/>
            </w:tcMar>
            <w:vAlign w:val="center"/>
          </w:tcPr>
          <w:p>
            <w:pPr>
              <w:jc w:val="left"/>
            </w:pPr>
            <w:r>
              <w:rPr>
                <w:b w:val="false"/>
                <w:bCs w:val="false"/>
                <w:color w:val="222222"/>
                <w:sz w:val="18"/>
                <w:szCs w:val="18"/>
              </w:rPr>
              <w:t xml:space="preserve">None. Do not rhodium-plate. Do not apply e-coat or protective lacquer.</w:t>
            </w:r>
          </w:p>
        </w:tc>
      </w:tr>
      <w:tr>
        <w:tc>
          <w:tcPr>
            <w:tcW w:type="dxa" w:w="2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Patina</w:t>
            </w:r>
          </w:p>
        </w:tc>
        <w:tc>
          <w:tcPr>
            <w:tcW w:type="dxa" w:w="6760"/>
            <w:tcMar>
              <w:top w:type="dxa" w:w="80"/>
              <w:left w:type="dxa" w:w="100"/>
              <w:bottom w:type="dxa" w:w="80"/>
              <w:right w:type="dxa" w:w="100"/>
            </w:tcMar>
            <w:vAlign w:val="center"/>
          </w:tcPr>
          <w:p>
            <w:pPr>
              <w:jc w:val="left"/>
            </w:pPr>
            <w:r>
              <w:rPr>
                <w:b w:val="false"/>
                <w:bCs w:val="false"/>
                <w:color w:val="222222"/>
                <w:sz w:val="18"/>
                <w:szCs w:val="18"/>
              </w:rPr>
              <w:t xml:space="preserve">Natural tarnish and oxidation over time is an intended design outcome — factory QC must not reject product for "lack of anti-tarnish treatment"</w:t>
            </w:r>
          </w:p>
        </w:tc>
      </w:tr>
      <w:tr>
        <w:tc>
          <w:tcPr>
            <w:tcW w:type="dxa" w:w="2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Hallmark</w:t>
            </w:r>
          </w:p>
        </w:tc>
        <w:tc>
          <w:tcPr>
            <w:tcW w:type="dxa" w:w="6760"/>
            <w:tcMar>
              <w:top w:type="dxa" w:w="80"/>
              <w:left w:type="dxa" w:w="100"/>
              <w:bottom w:type="dxa" w:w="80"/>
              <w:right w:type="dxa" w:w="100"/>
            </w:tcMar>
            <w:vAlign w:val="center"/>
          </w:tcPr>
          <w:p>
            <w:pPr>
              <w:jc w:val="left"/>
            </w:pPr>
            <w:r>
              <w:rPr>
                <w:b w:val="false"/>
                <w:bCs w:val="false"/>
                <w:color w:val="222222"/>
                <w:sz w:val="18"/>
                <w:szCs w:val="18"/>
              </w:rPr>
              <w:t xml:space="preserve">"925" stamped on interior shank, plus Chaos Incorporated maker's mark, both legible at 10x magnification, stamped before final polish so edges are clean</w:t>
            </w:r>
          </w:p>
        </w:tc>
      </w:tr>
      <w:tr>
        <w:tc>
          <w:tcPr>
            <w:tcW w:type="dxa" w:w="2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Cleaning before ship</w:t>
            </w:r>
          </w:p>
        </w:tc>
        <w:tc>
          <w:tcPr>
            <w:tcW w:type="dxa" w:w="6760"/>
            <w:tcMar>
              <w:top w:type="dxa" w:w="80"/>
              <w:left w:type="dxa" w:w="100"/>
              <w:bottom w:type="dxa" w:w="80"/>
              <w:right w:type="dxa" w:w="100"/>
            </w:tcMar>
            <w:vAlign w:val="center"/>
          </w:tcPr>
          <w:p>
            <w:pPr>
              <w:jc w:val="left"/>
            </w:pPr>
            <w:r>
              <w:rPr>
                <w:b w:val="false"/>
                <w:bCs w:val="false"/>
                <w:color w:val="222222"/>
                <w:sz w:val="18"/>
                <w:szCs w:val="18"/>
              </w:rPr>
              <w:t xml:space="preserve">Ultrasonic cleaning of metal only permitted before stone-setting; after the emerald is set, hand-clean only (steam and ultrasonic can damage oiled emerald)</w:t>
            </w:r>
          </w:p>
        </w:tc>
      </w:tr>
      <w:tr>
        <w:tc>
          <w:tcPr>
            <w:tcW w:type="dxa" w:w="2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Packaging finish check</w:t>
            </w:r>
          </w:p>
        </w:tc>
        <w:tc>
          <w:tcPr>
            <w:tcW w:type="dxa" w:w="6760"/>
            <w:tcMar>
              <w:top w:type="dxa" w:w="80"/>
              <w:left w:type="dxa" w:w="100"/>
              <w:bottom w:type="dxa" w:w="80"/>
              <w:right w:type="dxa" w:w="100"/>
            </w:tcMar>
            <w:vAlign w:val="center"/>
          </w:tcPr>
          <w:p>
            <w:pPr>
              <w:jc w:val="left"/>
            </w:pPr>
            <w:r>
              <w:rPr>
                <w:b w:val="false"/>
                <w:bCs w:val="false"/>
                <w:color w:val="222222"/>
                <w:sz w:val="18"/>
                <w:szCs w:val="18"/>
              </w:rPr>
              <w:t xml:space="preserve">Ring shipped with a light protective film or bag to avoid scratching during transit; no anti-tarnish strips inside the box (would work against intended patina)</w:t>
            </w:r>
          </w:p>
        </w:tc>
      </w:tr>
    </w:tbl>
    <w:p>
      <w:pPr>
        <w:pStyle w:val="Heading1"/>
        <w:pBdr>
          <w:bottom w:val="single" w:color="2E6B4F" w:sz="8" w:space="4"/>
        </w:pBdr>
        <w:spacing w:after="200" w:before="400"/>
      </w:pPr>
      <w:r>
        <w:rPr>
          <w:b/>
          <w:bCs/>
          <w:color w:val="1F2D3D"/>
          <w:sz w:val="30"/>
          <w:szCs w:val="30"/>
        </w:rPr>
        <w:t xml:space="preserve">9. Manufacturing Brief — English</w:t>
      </w:r>
    </w:p>
    <w:p>
      <w:pPr>
        <w:pStyle w:val="Heading3"/>
        <w:spacing w:after="100" w:before="200"/>
      </w:pPr>
      <w:r>
        <w:rPr>
          <w:b/>
          <w:bCs/>
          <w:color w:val="2E6B4F"/>
          <w:sz w:val="21"/>
          <w:szCs w:val="21"/>
        </w:rPr>
        <w:t xml:space="preserve">Project</w:t>
      </w:r>
    </w:p>
    <w:p>
      <w:pPr>
        <w:spacing w:after="120"/>
      </w:pPr>
      <w:r>
        <w:rPr>
          <w:sz w:val="20"/>
          <w:szCs w:val="20"/>
        </w:rPr>
        <w:t xml:space="preserve">Starlink One — heart-cut emerald ring, 925 sterling silver, chain-link/infinity shoulder motif. Client: Renn / Chaos Incorporated.</w:t>
      </w:r>
    </w:p>
    <w:p>
      <w:pPr>
        <w:pStyle w:val="Heading3"/>
        <w:spacing w:after="100" w:before="200"/>
      </w:pPr>
      <w:r>
        <w:rPr>
          <w:b/>
          <w:bCs/>
          <w:color w:val="2E6B4F"/>
          <w:sz w:val="21"/>
          <w:szCs w:val="21"/>
        </w:rPr>
        <w:t xml:space="preserve">To the Factory</w:t>
      </w:r>
    </w:p>
    <w:p>
      <w:pPr>
        <w:spacing w:after="120"/>
      </w:pPr>
      <w:r>
        <w:rPr>
          <w:sz w:val="20"/>
          <w:szCs w:val="20"/>
        </w:rPr>
        <w:t xml:space="preserve">Please read this brief in full before quoting or starting CAD. This piece has two non-negotiable requirements that differ from a standard ring order: (1) the finish must NOT be rhodium-plated or lacquer-coated — the metal is meant to tarnish naturally over time, and (2) the shoulder chain-link motif must match the client's four reference images exactly in link count, shape, and proportion, not a generic "chain pattern." Reference images will be supplied separately/appended; if they are missing from your packet, stop and request them before modeling.</w:t>
      </w:r>
    </w:p>
    <w:p>
      <w:pPr>
        <w:pStyle w:val="Heading3"/>
        <w:spacing w:after="100" w:before="200"/>
      </w:pPr>
      <w:r>
        <w:rPr>
          <w:b/>
          <w:bCs/>
          <w:color w:val="2E6B4F"/>
          <w:sz w:val="21"/>
          <w:szCs w:val="21"/>
        </w:rPr>
        <w:t xml:space="preserve">Materials</w:t>
      </w:r>
    </w:p>
    <w:p>
      <w:pPr>
        <w:pStyle w:val="ListParagraph"/>
        <w:numPr>
          <w:ilvl w:val="0"/>
          <w:numId w:val="2"/>
        </w:numPr>
        <w:spacing w:after="60"/>
      </w:pPr>
      <w:r>
        <w:rPr>
          <w:sz w:val="20"/>
          <w:szCs w:val="20"/>
        </w:rPr>
        <w:t xml:space="preserve">Metal: 925 sterling silver throughout (shank, gallery, prongs, and motif) — no base-metal core, no plating.</w:t>
      </w:r>
    </w:p>
    <w:p>
      <w:pPr>
        <w:pStyle w:val="ListParagraph"/>
        <w:numPr>
          <w:ilvl w:val="0"/>
          <w:numId w:val="2"/>
        </w:numPr>
        <w:spacing w:after="60"/>
      </w:pPr>
      <w:r>
        <w:rPr>
          <w:sz w:val="20"/>
          <w:szCs w:val="20"/>
        </w:rPr>
        <w:t xml:space="preserve">Center stone: natural heart-shaped brilliant-cut emerald, vivid green, 8–9 mm, supplied with independent gemological certification (GIA/AGL or equivalent). Stone will be supplied by client/sourcing partner unless otherwise agreed — confirm supply chain before quoting stone-setting labor only vs. stone + setting.</w:t>
      </w:r>
    </w:p>
    <w:p>
      <w:pPr>
        <w:pStyle w:val="Heading3"/>
        <w:spacing w:after="100" w:before="200"/>
      </w:pPr>
      <w:r>
        <w:rPr>
          <w:b/>
          <w:bCs/>
          <w:color w:val="2E6B4F"/>
          <w:sz w:val="21"/>
          <w:szCs w:val="21"/>
        </w:rPr>
        <w:t xml:space="preserve">Construction</w:t>
      </w:r>
    </w:p>
    <w:p>
      <w:pPr>
        <w:pStyle w:val="ListParagraph"/>
        <w:numPr>
          <w:ilvl w:val="0"/>
          <w:numId w:val="2"/>
        </w:numPr>
        <w:spacing w:after="60"/>
      </w:pPr>
      <w:r>
        <w:rPr>
          <w:sz w:val="20"/>
          <w:szCs w:val="20"/>
        </w:rPr>
        <w:t xml:space="preserve">Ring size US 7 — finished inner diameter 17.3 mm ±0.1 mm, measured after casting, polishing, and stone-setting (not before).</w:t>
      </w:r>
    </w:p>
    <w:p>
      <w:pPr>
        <w:pStyle w:val="ListParagraph"/>
        <w:numPr>
          <w:ilvl w:val="0"/>
          <w:numId w:val="2"/>
        </w:numPr>
        <w:spacing w:after="60"/>
      </w:pPr>
      <w:r>
        <w:rPr>
          <w:sz w:val="20"/>
          <w:szCs w:val="20"/>
        </w:rPr>
        <w:t xml:space="preserve">4-prong setting, prong placement locked to the heart's point, cleft, and two shoulders (see Section 5 of the full tech pack) — this is not a generic 4-prong layout and must not be substituted with an evenly-spaced 4-prong pattern.</w:t>
      </w:r>
    </w:p>
    <w:p>
      <w:pPr>
        <w:pStyle w:val="ListParagraph"/>
        <w:numPr>
          <w:ilvl w:val="0"/>
          <w:numId w:val="2"/>
        </w:numPr>
        <w:spacing w:after="60"/>
      </w:pPr>
      <w:r>
        <w:rPr>
          <w:sz w:val="20"/>
          <w:szCs w:val="20"/>
        </w:rPr>
        <w:t xml:space="preserve">Chain-link/infinity motif cast integral to the piece (no soldered-on links) unless the reference images explicitly call for articulated/moving links — if in doubt, ask before committing to tooling.</w:t>
      </w:r>
    </w:p>
    <w:p>
      <w:pPr>
        <w:pStyle w:val="Heading3"/>
        <w:spacing w:after="100" w:before="200"/>
      </w:pPr>
      <w:r>
        <w:rPr>
          <w:b/>
          <w:bCs/>
          <w:color w:val="2E6B4F"/>
          <w:sz w:val="21"/>
          <w:szCs w:val="21"/>
        </w:rPr>
        <w:t xml:space="preserve">Finish</w:t>
      </w:r>
    </w:p>
    <w:p>
      <w:pPr>
        <w:pStyle w:val="ListParagraph"/>
        <w:numPr>
          <w:ilvl w:val="0"/>
          <w:numId w:val="2"/>
        </w:numPr>
        <w:spacing w:after="60"/>
      </w:pPr>
      <w:r>
        <w:rPr>
          <w:sz w:val="20"/>
          <w:szCs w:val="20"/>
        </w:rPr>
        <w:t xml:space="preserve">High polish / mirror finish on all surfaces, including motif undercuts — no matte or satin zones.</w:t>
      </w:r>
    </w:p>
    <w:p>
      <w:pPr>
        <w:pStyle w:val="ListParagraph"/>
        <w:numPr>
          <w:ilvl w:val="0"/>
          <w:numId w:val="2"/>
        </w:numPr>
        <w:spacing w:after="60"/>
      </w:pPr>
      <w:r>
        <w:rPr>
          <w:sz w:val="20"/>
          <w:szCs w:val="20"/>
        </w:rPr>
        <w:t xml:space="preserve">No rhodium plating. No anti-tarnish coating, lacquer, or e-coat of any kind.</w:t>
      </w:r>
    </w:p>
    <w:p>
      <w:pPr>
        <w:pStyle w:val="ListParagraph"/>
        <w:numPr>
          <w:ilvl w:val="0"/>
          <w:numId w:val="2"/>
        </w:numPr>
        <w:spacing w:after="60"/>
      </w:pPr>
      <w:r>
        <w:rPr>
          <w:sz w:val="20"/>
          <w:szCs w:val="20"/>
        </w:rPr>
        <w:t xml:space="preserve">"925" hallmark plus Chaos Incorporated maker's mark stamped on interior shank, legible at 10x, stamped before final polish.</w:t>
      </w:r>
    </w:p>
    <w:p>
      <w:pPr>
        <w:pStyle w:val="Heading3"/>
        <w:spacing w:after="100" w:before="200"/>
      </w:pPr>
      <w:r>
        <w:rPr>
          <w:b/>
          <w:bCs/>
          <w:color w:val="2E6B4F"/>
          <w:sz w:val="21"/>
          <w:szCs w:val="21"/>
        </w:rPr>
        <w:t xml:space="preserve">Handling</w:t>
      </w:r>
    </w:p>
    <w:p>
      <w:pPr>
        <w:pStyle w:val="ListParagraph"/>
        <w:numPr>
          <w:ilvl w:val="0"/>
          <w:numId w:val="2"/>
        </w:numPr>
        <w:spacing w:after="60"/>
      </w:pPr>
      <w:r>
        <w:rPr>
          <w:sz w:val="20"/>
          <w:szCs w:val="20"/>
        </w:rPr>
        <w:t xml:space="preserve">After stone-setting: hand-clean only. No ultrasonic or steam cleaning once the emerald is in place (oil-treated emerald can be damaged by both).</w:t>
      </w:r>
    </w:p>
    <w:p>
      <w:pPr>
        <w:pStyle w:val="ListParagraph"/>
        <w:numPr>
          <w:ilvl w:val="0"/>
          <w:numId w:val="2"/>
        </w:numPr>
        <w:spacing w:after="60"/>
      </w:pPr>
      <w:r>
        <w:rPr>
          <w:sz w:val="20"/>
          <w:szCs w:val="20"/>
        </w:rPr>
        <w:t xml:space="preserve">Ship with light protective wrap only — do not include anti-tarnish paper/strips in packaging, as this works against the intended patina.</w:t>
      </w:r>
    </w:p>
    <w:p>
      <w:pPr>
        <w:pStyle w:val="Heading3"/>
        <w:spacing w:after="100" w:before="200"/>
      </w:pPr>
      <w:r>
        <w:rPr>
          <w:b/>
          <w:bCs/>
          <w:color w:val="2E6B4F"/>
          <w:sz w:val="21"/>
          <w:szCs w:val="21"/>
        </w:rPr>
        <w:t xml:space="preserve">Approval Gate</w:t>
      </w:r>
    </w:p>
    <w:p>
      <w:pPr>
        <w:spacing w:after="120"/>
      </w:pPr>
      <w:r>
        <w:rPr>
          <w:sz w:val="20"/>
          <w:szCs w:val="20"/>
        </w:rPr>
        <w:t xml:space="preserve">A resin/wax 3D print of the full CAD model (stone-in-place, to scale) must be sent for client sign-off before metal casting begins. Do not proceed to casting on CAD approval alone.</w:t>
      </w:r>
    </w:p>
    <w:p>
      <w:pPr>
        <w:pStyle w:val="Heading1"/>
        <w:pBdr>
          <w:bottom w:val="single" w:color="2E6B4F" w:sz="8" w:space="4"/>
        </w:pBdr>
        <w:spacing w:after="200" w:before="400"/>
      </w:pPr>
      <w:r>
        <w:rPr>
          <w:b/>
          <w:bCs/>
          <w:color w:val="1F2D3D"/>
          <w:sz w:val="30"/>
          <w:szCs w:val="30"/>
        </w:rPr>
        <w:t xml:space="preserve">10. 制造工艺说明书（简体中文技术版）</w:t>
      </w:r>
    </w:p>
    <w:p>
      <w:pPr>
        <w:pStyle w:val="Heading3"/>
        <w:spacing w:after="100" w:before="200"/>
      </w:pPr>
      <w:r>
        <w:rPr>
          <w:b/>
          <w:bCs/>
          <w:color w:val="2E6B4F"/>
          <w:sz w:val="21"/>
          <w:szCs w:val="21"/>
        </w:rPr>
        <w:t xml:space="preserve">项目名称</w:t>
      </w:r>
    </w:p>
    <w:p>
      <w:pPr>
        <w:spacing w:after="120"/>
      </w:pPr>
      <w:r>
        <w:rPr>
          <w:sz w:val="20"/>
          <w:szCs w:val="20"/>
        </w:rPr>
        <w:t xml:space="preserve">Starlink One（星链一号）—— 心形祖母绿戒指，925纯银材质，双肩链条/无限符号纹样。客户：Renn / Chaos Incorporated（混沌股份）。</w:t>
      </w:r>
    </w:p>
    <w:p>
      <w:pPr>
        <w:pStyle w:val="Heading3"/>
        <w:spacing w:after="100" w:before="200"/>
      </w:pPr>
      <w:r>
        <w:rPr>
          <w:b/>
          <w:bCs/>
          <w:color w:val="2E6B4F"/>
          <w:sz w:val="21"/>
          <w:szCs w:val="21"/>
        </w:rPr>
        <w:t xml:space="preserve">致工厂说明</w:t>
      </w:r>
    </w:p>
    <w:p>
      <w:pPr>
        <w:spacing w:after="120"/>
      </w:pPr>
      <w:r>
        <w:rPr>
          <w:sz w:val="20"/>
          <w:szCs w:val="20"/>
        </w:rPr>
        <w:t xml:space="preserve">请在报价或开始建模前完整阅读本说明书。本产品有两项与常规订单不同的强制性要求，不可协商：（1）成品表面禁止镀铑、禁止上光油或任何防氧化涂层——银材需要随佩戴自然氧化、产生包浆，这是设计效果的一部分；（2）戒指双肩的链条/无限符号纹样必须与客户提供的四张参考图片完全一致（包括链节数量、形状与比例），不可使用通用链条纹样替代。参考图片将单独提供或随附件发送；若您收到的资料中缺少参考图片，请在建模前暂停并索取，切勿自行推测纹样设计。</w:t>
      </w:r>
    </w:p>
    <w:p>
      <w:pPr>
        <w:pStyle w:val="Heading3"/>
        <w:spacing w:after="100" w:before="200"/>
      </w:pPr>
      <w:r>
        <w:rPr>
          <w:b/>
          <w:bCs/>
          <w:color w:val="2E6B4F"/>
          <w:sz w:val="21"/>
          <w:szCs w:val="21"/>
        </w:rPr>
        <w:t xml:space="preserve">材质要求</w:t>
      </w:r>
    </w:p>
    <w:p>
      <w:pPr>
        <w:pStyle w:val="ListParagraph"/>
        <w:numPr>
          <w:ilvl w:val="0"/>
          <w:numId w:val="2"/>
        </w:numPr>
        <w:spacing w:after="60"/>
      </w:pPr>
      <w:r>
        <w:rPr>
          <w:sz w:val="20"/>
          <w:szCs w:val="20"/>
        </w:rPr>
        <w:t xml:space="preserve">金属材质：戒圈、爪镶篮、爪齿及链条纹样全部使用925纯银（含银量92.5%），不得使用贱金属芯材，成品不得电镀。</w:t>
      </w:r>
    </w:p>
    <w:p>
      <w:pPr>
        <w:pStyle w:val="ListParagraph"/>
        <w:numPr>
          <w:ilvl w:val="0"/>
          <w:numId w:val="2"/>
        </w:numPr>
        <w:spacing w:after="60"/>
      </w:pPr>
      <w:r>
        <w:rPr>
          <w:sz w:val="20"/>
          <w:szCs w:val="20"/>
        </w:rPr>
        <w:t xml:space="preserve">主石：天然心形明亮式切割祖母绿，鲜绿色，尺寸8–9毫米，须附独立宝石鉴定证书（GIA、AGL或同等资质机构出具）。除另有约定外，主石由客户/寻石方提供——报价前请与客户确认是仅报镶嵌工费，还是包含主石采购。</w:t>
      </w:r>
    </w:p>
    <w:p>
      <w:pPr>
        <w:pStyle w:val="Heading3"/>
        <w:spacing w:after="100" w:before="200"/>
      </w:pPr>
      <w:r>
        <w:rPr>
          <w:b/>
          <w:bCs/>
          <w:color w:val="2E6B4F"/>
          <w:sz w:val="21"/>
          <w:szCs w:val="21"/>
        </w:rPr>
        <w:t xml:space="preserve">结构与尺寸</w:t>
      </w:r>
    </w:p>
    <w:p>
      <w:pPr>
        <w:pStyle w:val="ListParagraph"/>
        <w:numPr>
          <w:ilvl w:val="0"/>
          <w:numId w:val="2"/>
        </w:numPr>
        <w:spacing w:after="60"/>
      </w:pPr>
      <w:r>
        <w:rPr>
          <w:sz w:val="20"/>
          <w:szCs w:val="20"/>
        </w:rPr>
        <w:t xml:space="preserve">戒指尺寸：美码7号——成品内径17.3毫米，公差±0.1毫米，须在铸造、抛光及镶石全部完成后测量，而非铸造前的蜡型尺寸。</w:t>
      </w:r>
    </w:p>
    <w:p>
      <w:pPr>
        <w:pStyle w:val="ListParagraph"/>
        <w:numPr>
          <w:ilvl w:val="0"/>
          <w:numId w:val="2"/>
        </w:numPr>
        <w:spacing w:after="60"/>
      </w:pPr>
      <w:r>
        <w:rPr>
          <w:sz w:val="20"/>
          <w:szCs w:val="20"/>
        </w:rPr>
        <w:t xml:space="preserve">镶嵌方式：四爪镶嵌，爪位须严格对应心形宝石的底部尖端、顶部凹口（心形缺口）及左右两侧肩部（详见完整技术包第5节），此为针对心形宝石的专用爪位设计，不可替换为常规四爪均匀分布方案。</w:t>
      </w:r>
    </w:p>
    <w:p>
      <w:pPr>
        <w:pStyle w:val="ListParagraph"/>
        <w:numPr>
          <w:ilvl w:val="0"/>
          <w:numId w:val="2"/>
        </w:numPr>
        <w:spacing w:after="60"/>
      </w:pPr>
      <w:r>
        <w:rPr>
          <w:sz w:val="20"/>
          <w:szCs w:val="20"/>
        </w:rPr>
        <w:t xml:space="preserve">链条/无限符号纹样须与戒身、爪镶篮一体铸造成型，不允许后期焊接拼装链节；若参考图片明确要求链节可活动（真实链条结构），须在开模前与客户书面确认，不可自行判断。</w:t>
      </w:r>
    </w:p>
    <w:p>
      <w:pPr>
        <w:pStyle w:val="Heading3"/>
        <w:spacing w:after="100" w:before="200"/>
      </w:pPr>
      <w:r>
        <w:rPr>
          <w:b/>
          <w:bCs/>
          <w:color w:val="2E6B4F"/>
          <w:sz w:val="21"/>
          <w:szCs w:val="21"/>
        </w:rPr>
        <w:t xml:space="preserve">表面处理</w:t>
      </w:r>
    </w:p>
    <w:p>
      <w:pPr>
        <w:pStyle w:val="ListParagraph"/>
        <w:numPr>
          <w:ilvl w:val="0"/>
          <w:numId w:val="2"/>
        </w:numPr>
        <w:spacing w:after="60"/>
      </w:pPr>
      <w:r>
        <w:rPr>
          <w:sz w:val="20"/>
          <w:szCs w:val="20"/>
        </w:rPr>
        <w:t xml:space="preserve">全器表面（含纹样凹陷处）均须抛光至镜面高抛光效果，不得留有哑光或磨砂区域。</w:t>
      </w:r>
    </w:p>
    <w:p>
      <w:pPr>
        <w:pStyle w:val="ListParagraph"/>
        <w:numPr>
          <w:ilvl w:val="0"/>
          <w:numId w:val="2"/>
        </w:numPr>
        <w:spacing w:after="60"/>
      </w:pPr>
      <w:r>
        <w:rPr>
          <w:sz w:val="20"/>
          <w:szCs w:val="20"/>
        </w:rPr>
        <w:t xml:space="preserve">禁止镀铑，禁止使用任何防氧化涂层、封层或电镀处理。</w:t>
      </w:r>
    </w:p>
    <w:p>
      <w:pPr>
        <w:pStyle w:val="ListParagraph"/>
        <w:numPr>
          <w:ilvl w:val="0"/>
          <w:numId w:val="2"/>
        </w:numPr>
        <w:spacing w:after="60"/>
      </w:pPr>
      <w:r>
        <w:rPr>
          <w:sz w:val="20"/>
          <w:szCs w:val="20"/>
        </w:rPr>
        <w:t xml:space="preserve">须在戒圈内侧打印“925”纯度印记及Chaos Incorporated品牌印记，印记须在10倍放大镜下清晰可辨，并在最终抛光前完成打印，以确保印记边缘整洁。</w:t>
      </w:r>
    </w:p>
    <w:p>
      <w:pPr>
        <w:pStyle w:val="Heading3"/>
        <w:spacing w:after="100" w:before="200"/>
      </w:pPr>
      <w:r>
        <w:rPr>
          <w:b/>
          <w:bCs/>
          <w:color w:val="2E6B4F"/>
          <w:sz w:val="21"/>
          <w:szCs w:val="21"/>
        </w:rPr>
        <w:t xml:space="preserve">镶石后处理规范</w:t>
      </w:r>
    </w:p>
    <w:p>
      <w:pPr>
        <w:pStyle w:val="ListParagraph"/>
        <w:numPr>
          <w:ilvl w:val="0"/>
          <w:numId w:val="2"/>
        </w:numPr>
        <w:spacing w:after="60"/>
      </w:pPr>
      <w:r>
        <w:rPr>
          <w:sz w:val="20"/>
          <w:szCs w:val="20"/>
        </w:rPr>
        <w:t xml:space="preserve">主石镶嵌完成后，仅可手工清洁，严禁使用超声波或蒸汽清洗——祖母绿通常经过注油处理，超声波及蒸汽清洗均可能对宝石造成损伤（裂纹扩大或注油流失）。</w:t>
      </w:r>
    </w:p>
    <w:p>
      <w:pPr>
        <w:pStyle w:val="ListParagraph"/>
        <w:numPr>
          <w:ilvl w:val="0"/>
          <w:numId w:val="2"/>
        </w:numPr>
        <w:spacing w:after="60"/>
      </w:pPr>
      <w:r>
        <w:rPr>
          <w:sz w:val="20"/>
          <w:szCs w:val="20"/>
        </w:rPr>
        <w:t xml:space="preserve">包装时仅可使用轻质保护包裹材料，禁止在包装内放置防氧化纸或防氧化条，因其效果与本设计要求的自然包浆效果相悖。</w:t>
      </w:r>
    </w:p>
    <w:p>
      <w:pPr>
        <w:pStyle w:val="Heading3"/>
        <w:spacing w:after="100" w:before="200"/>
      </w:pPr>
      <w:r>
        <w:rPr>
          <w:b/>
          <w:bCs/>
          <w:color w:val="2E6B4F"/>
          <w:sz w:val="21"/>
          <w:szCs w:val="21"/>
        </w:rPr>
        <w:t xml:space="preserve">确认节点（重要）</w:t>
      </w:r>
    </w:p>
    <w:p>
      <w:pPr>
        <w:spacing w:after="120"/>
      </w:pPr>
      <w:r>
        <w:rPr>
          <w:sz w:val="20"/>
          <w:szCs w:val="20"/>
        </w:rPr>
        <w:t xml:space="preserve">金属铸造前，须先提供按实际比例、含仿真主石的树脂或蜡质3D打印样品，交由客户确认签字后方可进入铸造环节。仅凭CAD电子图纸批准不可直接进入铸造工序。</w:t>
      </w:r>
    </w:p>
    <w:p>
      <w:pPr>
        <w:pStyle w:val="Heading1"/>
        <w:pBdr>
          <w:bottom w:val="single" w:color="2E6B4F" w:sz="8" w:space="4"/>
        </w:pBdr>
        <w:spacing w:after="200" w:before="400"/>
      </w:pPr>
      <w:r>
        <w:rPr>
          <w:b/>
          <w:bCs/>
          <w:color w:val="1F2D3D"/>
          <w:sz w:val="30"/>
          <w:szCs w:val="30"/>
        </w:rPr>
        <w:t xml:space="preserve">11. CAD Requirements</w:t>
      </w:r>
    </w:p>
    <w:p>
      <w:pPr>
        <w:pStyle w:val="Heading3"/>
        <w:spacing w:after="100" w:before="200"/>
      </w:pPr>
      <w:r>
        <w:rPr>
          <w:b/>
          <w:bCs/>
          <w:color w:val="2E6B4F"/>
          <w:sz w:val="21"/>
          <w:szCs w:val="21"/>
        </w:rPr>
        <w:t xml:space="preserve">11.1 Software &amp; File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shd w:fill="1F2D3D" w:val="clear"/>
            <w:tcMar>
              <w:top w:type="dxa" w:w="80"/>
              <w:left w:type="dxa" w:w="100"/>
              <w:bottom w:type="dxa" w:w="80"/>
              <w:right w:type="dxa" w:w="100"/>
            </w:tcMar>
            <w:vAlign w:val="center"/>
          </w:tcPr>
          <w:p>
            <w:pPr>
              <w:jc w:val="left"/>
            </w:pPr>
            <w:r>
              <w:rPr>
                <w:b/>
                <w:bCs/>
                <w:color w:val="FFFFFF"/>
                <w:sz w:val="18"/>
                <w:szCs w:val="18"/>
              </w:rPr>
              <w:t xml:space="preserve">Deliverable</w:t>
            </w:r>
          </w:p>
        </w:tc>
        <w:tc>
          <w:tcPr>
            <w:tcW w:type="dxa" w:w="2600"/>
            <w:shd w:fill="1F2D3D" w:val="clear"/>
            <w:tcMar>
              <w:top w:type="dxa" w:w="80"/>
              <w:left w:type="dxa" w:w="100"/>
              <w:bottom w:type="dxa" w:w="80"/>
              <w:right w:type="dxa" w:w="100"/>
            </w:tcMar>
            <w:vAlign w:val="center"/>
          </w:tcPr>
          <w:p>
            <w:pPr>
              <w:jc w:val="left"/>
            </w:pPr>
            <w:r>
              <w:rPr>
                <w:b/>
                <w:bCs/>
                <w:color w:val="FFFFFF"/>
                <w:sz w:val="18"/>
                <w:szCs w:val="18"/>
              </w:rPr>
              <w:t xml:space="preserve">Format</w:t>
            </w:r>
          </w:p>
        </w:tc>
        <w:tc>
          <w:tcPr>
            <w:tcW w:type="dxa" w:w="4160"/>
            <w:shd w:fill="1F2D3D" w:val="clear"/>
            <w:tcMar>
              <w:top w:type="dxa" w:w="80"/>
              <w:left w:type="dxa" w:w="100"/>
              <w:bottom w:type="dxa" w:w="80"/>
              <w:right w:type="dxa" w:w="100"/>
            </w:tcMar>
            <w:vAlign w:val="center"/>
          </w:tcPr>
          <w:p>
            <w:pPr>
              <w:jc w:val="left"/>
            </w:pPr>
            <w:r>
              <w:rPr>
                <w:b/>
                <w:bCs/>
                <w:color w:val="FFFFFF"/>
                <w:sz w:val="18"/>
                <w:szCs w:val="18"/>
              </w:rPr>
              <w:t xml:space="preserve">Notes</w:t>
            </w:r>
          </w:p>
        </w:tc>
      </w:tr>
      <w:tr>
        <w:tc>
          <w:tcPr>
            <w:tcW w:type="dxa" w:w="2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Native CAD model</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.3dm (Rhino) or Matrix/RhinoGold native</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Fully parametric where possible, especially motif links</w:t>
            </w:r>
          </w:p>
        </w:tc>
      </w:tr>
      <w:tr>
        <w:tc>
          <w:tcPr>
            <w:tcW w:type="dxa" w:w="2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Print-ready mesh</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.stl</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Min. 0.01 mm resolution, watertight, no non-manifold geometry</w:t>
            </w:r>
          </w:p>
        </w:tc>
      </w:tr>
      <w:tr>
        <w:tc>
          <w:tcPr>
            <w:tcW w:type="dxa" w:w="2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Engineering reference</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.stp / .step</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For factory tooling reference and archive</w:t>
            </w:r>
          </w:p>
        </w:tc>
      </w:tr>
      <w:tr>
        <w:tc>
          <w:tcPr>
            <w:tcW w:type="dxa" w:w="2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2D dimensioned drawing</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.pdf + native vector</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Front, side, top, and section views with all Section 3 dimensions called out</w:t>
            </w:r>
          </w:p>
        </w:tc>
      </w:tr>
      <w:tr>
        <w:tc>
          <w:tcPr>
            <w:tcW w:type="dxa" w:w="2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Renders</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.png/.jpg, min. 3000px</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Front, 3/4, side, top-down, and one exploded-view render of prong+basket+shank construction</w:t>
            </w:r>
          </w:p>
        </w:tc>
      </w:tr>
    </w:tbl>
    <w:p>
      <w:pPr>
        <w:pStyle w:val="Heading3"/>
        <w:spacing w:after="100" w:before="200"/>
      </w:pPr>
      <w:r>
        <w:rPr>
          <w:b/>
          <w:bCs/>
          <w:color w:val="2E6B4F"/>
          <w:sz w:val="21"/>
          <w:szCs w:val="21"/>
        </w:rPr>
        <w:t xml:space="preserve">11.2 Modeling Requirements</w:t>
      </w:r>
    </w:p>
    <w:p>
      <w:pPr>
        <w:pStyle w:val="ListParagraph"/>
        <w:numPr>
          <w:ilvl w:val="0"/>
          <w:numId w:val="2"/>
        </w:numPr>
        <w:spacing w:after="60"/>
      </w:pPr>
      <w:r>
        <w:rPr>
          <w:sz w:val="20"/>
          <w:szCs w:val="20"/>
        </w:rPr>
        <w:t xml:space="preserve">Model the stone as an accurate proxy (correct heart-brilliant facet geometry at 8–9 mm) so the seat/prongs are engineered against real geometry, not a placeholder sphere/box.</w:t>
      </w:r>
    </w:p>
    <w:p>
      <w:pPr>
        <w:pStyle w:val="ListParagraph"/>
        <w:numPr>
          <w:ilvl w:val="0"/>
          <w:numId w:val="2"/>
        </w:numPr>
        <w:spacing w:after="60"/>
      </w:pPr>
      <w:r>
        <w:rPr>
          <w:sz w:val="20"/>
          <w:szCs w:val="20"/>
        </w:rPr>
        <w:t xml:space="preserve">Chain-link/infinity motif must be modeled from the four reference images at 1:1 scale reference overlay — do not approximate by eye.</w:t>
      </w:r>
    </w:p>
    <w:p>
      <w:pPr>
        <w:pStyle w:val="ListParagraph"/>
        <w:numPr>
          <w:ilvl w:val="0"/>
          <w:numId w:val="2"/>
        </w:numPr>
        <w:spacing w:after="60"/>
      </w:pPr>
      <w:r>
        <w:rPr>
          <w:sz w:val="20"/>
          <w:szCs w:val="20"/>
        </w:rPr>
        <w:t xml:space="preserve">Minimum wall thickness anywhere in the cast structure: 0.8 mm (castability floor for 925 silver investment casting).</w:t>
      </w:r>
    </w:p>
    <w:p>
      <w:pPr>
        <w:pStyle w:val="ListParagraph"/>
        <w:numPr>
          <w:ilvl w:val="0"/>
          <w:numId w:val="2"/>
        </w:numPr>
        <w:spacing w:after="60"/>
      </w:pPr>
      <w:r>
        <w:rPr>
          <w:sz w:val="20"/>
          <w:szCs w:val="20"/>
        </w:rPr>
        <w:t xml:space="preserve">All undercuts in the motif must include adequate draft/relief for investment mold release — flag any link geometry that fully encloses a void (true interlocking rings) since those cannot be cast as one piece and require the Section 6.2 articulated-link decision.</w:t>
      </w:r>
    </w:p>
    <w:p>
      <w:pPr>
        <w:pStyle w:val="ListParagraph"/>
        <w:numPr>
          <w:ilvl w:val="0"/>
          <w:numId w:val="2"/>
        </w:numPr>
        <w:spacing w:after="60"/>
      </w:pPr>
      <w:r>
        <w:rPr>
          <w:sz w:val="20"/>
          <w:szCs w:val="20"/>
        </w:rPr>
        <w:t xml:space="preserve">Model at the exact target ring size (17.3 mm ID) — do not rely on post-cast sizing to hit tolerance, since sizing after the fact can distort the motif.</w:t>
      </w:r>
    </w:p>
    <w:p>
      <w:pPr>
        <w:pStyle w:val="Heading3"/>
        <w:spacing w:after="100" w:before="200"/>
      </w:pPr>
      <w:r>
        <w:rPr>
          <w:b/>
          <w:bCs/>
          <w:color w:val="2E6B4F"/>
          <w:sz w:val="21"/>
          <w:szCs w:val="21"/>
        </w:rPr>
        <w:t xml:space="preserve">11.3 Tolerances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2D3D" w:val="clear"/>
            <w:tcMar>
              <w:top w:type="dxa" w:w="80"/>
              <w:left w:type="dxa" w:w="100"/>
              <w:bottom w:type="dxa" w:w="80"/>
              <w:right w:type="dxa" w:w="100"/>
            </w:tcMar>
            <w:vAlign w:val="center"/>
          </w:tcPr>
          <w:p>
            <w:pPr>
              <w:jc w:val="left"/>
            </w:pPr>
            <w:r>
              <w:rPr>
                <w:b/>
                <w:bCs/>
                <w:color w:val="FFFFFF"/>
                <w:sz w:val="18"/>
                <w:szCs w:val="18"/>
              </w:rPr>
              <w:t xml:space="preserve">Parameter</w:t>
            </w:r>
          </w:p>
        </w:tc>
        <w:tc>
          <w:tcPr>
            <w:tcW w:type="dxa" w:w="5760"/>
            <w:shd w:fill="1F2D3D" w:val="clear"/>
            <w:tcMar>
              <w:top w:type="dxa" w:w="80"/>
              <w:left w:type="dxa" w:w="100"/>
              <w:bottom w:type="dxa" w:w="80"/>
              <w:right w:type="dxa" w:w="100"/>
            </w:tcMar>
            <w:vAlign w:val="center"/>
          </w:tcPr>
          <w:p>
            <w:pPr>
              <w:jc w:val="left"/>
            </w:pPr>
            <w:r>
              <w:rPr>
                <w:b/>
                <w:bCs/>
                <w:color w:val="FFFFFF"/>
                <w:sz w:val="18"/>
                <w:szCs w:val="18"/>
              </w:rPr>
              <w:t xml:space="preserve">CAD tolerance</w:t>
            </w:r>
          </w:p>
        </w:tc>
      </w:tr>
      <w:tr>
        <w:tc>
          <w:tcPr>
            <w:tcW w:type="dxa" w:w="3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Overall dimensions</w:t>
            </w:r>
          </w:p>
        </w:tc>
        <w:tc>
          <w:tcPr>
            <w:tcW w:type="dxa" w:w="5760"/>
            <w:tcMar>
              <w:top w:type="dxa" w:w="80"/>
              <w:left w:type="dxa" w:w="100"/>
              <w:bottom w:type="dxa" w:w="80"/>
              <w:right w:type="dxa" w:w="100"/>
            </w:tcMar>
            <w:vAlign w:val="center"/>
          </w:tcPr>
          <w:p>
            <w:pPr>
              <w:jc w:val="left"/>
            </w:pPr>
            <w:r>
              <w:rPr>
                <w:b w:val="false"/>
                <w:bCs w:val="false"/>
                <w:color w:val="222222"/>
                <w:sz w:val="18"/>
                <w:szCs w:val="18"/>
              </w:rPr>
              <w:t xml:space="preserve">±0.1 mm</w:t>
            </w:r>
          </w:p>
        </w:tc>
      </w:tr>
      <w:tr>
        <w:tc>
          <w:tcPr>
            <w:tcW w:type="dxa" w:w="3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Ring inner diameter</w:t>
            </w:r>
          </w:p>
        </w:tc>
        <w:tc>
          <w:tcPr>
            <w:tcW w:type="dxa" w:w="5760"/>
            <w:tcMar>
              <w:top w:type="dxa" w:w="80"/>
              <w:left w:type="dxa" w:w="100"/>
              <w:bottom w:type="dxa" w:w="80"/>
              <w:right w:type="dxa" w:w="100"/>
            </w:tcMar>
            <w:vAlign w:val="center"/>
          </w:tcPr>
          <w:p>
            <w:pPr>
              <w:jc w:val="left"/>
            </w:pPr>
            <w:r>
              <w:rPr>
                <w:b w:val="false"/>
                <w:bCs w:val="false"/>
                <w:color w:val="222222"/>
                <w:sz w:val="18"/>
                <w:szCs w:val="18"/>
              </w:rPr>
              <w:t xml:space="preserve">±0.1 mm (hard requirement, matches finished-piece spec)</w:t>
            </w:r>
          </w:p>
        </w:tc>
      </w:tr>
      <w:tr>
        <w:tc>
          <w:tcPr>
            <w:tcW w:type="dxa" w:w="3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Prong tip geometry</w:t>
            </w:r>
          </w:p>
        </w:tc>
        <w:tc>
          <w:tcPr>
            <w:tcW w:type="dxa" w:w="5760"/>
            <w:tcMar>
              <w:top w:type="dxa" w:w="80"/>
              <w:left w:type="dxa" w:w="100"/>
              <w:bottom w:type="dxa" w:w="80"/>
              <w:right w:type="dxa" w:w="100"/>
            </w:tcMar>
            <w:vAlign w:val="center"/>
          </w:tcPr>
          <w:p>
            <w:pPr>
              <w:jc w:val="left"/>
            </w:pPr>
            <w:r>
              <w:rPr>
                <w:b w:val="false"/>
                <w:bCs w:val="false"/>
                <w:color w:val="222222"/>
                <w:sz w:val="18"/>
                <w:szCs w:val="18"/>
              </w:rPr>
              <w:t xml:space="preserve">Model to +0.1 mm oversize — final tip shaping is done by hand by the stone-setter after casting</w:t>
            </w:r>
          </w:p>
        </w:tc>
      </w:tr>
      <w:tr>
        <w:tc>
          <w:tcPr>
            <w:tcW w:type="dxa" w:w="36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Motif link geometry</w:t>
            </w:r>
          </w:p>
        </w:tc>
        <w:tc>
          <w:tcPr>
            <w:tcW w:type="dxa" w:w="5760"/>
            <w:tcMar>
              <w:top w:type="dxa" w:w="80"/>
              <w:left w:type="dxa" w:w="100"/>
              <w:bottom w:type="dxa" w:w="80"/>
              <w:right w:type="dxa" w:w="100"/>
            </w:tcMar>
            <w:vAlign w:val="center"/>
          </w:tcPr>
          <w:p>
            <w:pPr>
              <w:jc w:val="left"/>
            </w:pPr>
            <w:r>
              <w:rPr>
                <w:b w:val="false"/>
                <w:bCs w:val="false"/>
                <w:color w:val="222222"/>
                <w:sz w:val="18"/>
                <w:szCs w:val="18"/>
              </w:rPr>
              <w:t xml:space="preserve">±0.05 mm per link, consistent across all links on one shoulder</w:t>
            </w:r>
          </w:p>
        </w:tc>
      </w:tr>
    </w:tbl>
    <w:p>
      <w:pPr>
        <w:pStyle w:val="Heading3"/>
        <w:spacing w:after="100" w:before="200"/>
      </w:pPr>
      <w:r>
        <w:rPr>
          <w:b/>
          <w:bCs/>
          <w:color w:val="2E6B4F"/>
          <w:sz w:val="21"/>
          <w:szCs w:val="21"/>
        </w:rPr>
        <w:t xml:space="preserve">11.4 Validation Gate</w:t>
      </w:r>
    </w:p>
    <w:p>
      <w:pPr>
        <w:spacing w:after="120"/>
      </w:pPr>
      <w:r>
        <w:rPr>
          <w:sz w:val="20"/>
          <w:szCs w:val="20"/>
        </w:rPr>
        <w:t xml:space="preserve">A physical resin or wax print at 1:1 scale, with a stone proxy in place, must be produced and approved by the client before any metal is cast. This is the primary check for fit, proportion, and motif accuracy against the reference images.</w:t>
      </w:r>
    </w:p>
    <w:p>
      <w:pPr>
        <w:pStyle w:val="Heading1"/>
        <w:pBdr>
          <w:bottom w:val="single" w:color="2E6B4F" w:sz="8" w:space="4"/>
        </w:pBdr>
        <w:spacing w:after="200" w:before="400"/>
      </w:pPr>
      <w:r>
        <w:rPr>
          <w:b/>
          <w:bCs/>
          <w:color w:val="1F2D3D"/>
          <w:sz w:val="30"/>
          <w:szCs w:val="30"/>
        </w:rPr>
        <w:t xml:space="preserve">12. Quality Control Checklist</w:t>
      </w:r>
    </w:p>
    <w:p>
      <w:pPr>
        <w:spacing w:after="120"/>
      </w:pPr>
      <w:r>
        <w:rPr>
          <w:sz w:val="20"/>
          <w:szCs w:val="20"/>
        </w:rPr>
        <w:t xml:space="preserve">To be completed by factory QC before shipment, and independently spot-checked by client-side QC on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260"/>
        <w:gridCol w:w="800"/>
      </w:tblGrid>
      <w:tr>
        <w:tc>
          <w:tcPr>
            <w:tcW w:type="dxa" w:w="500"/>
            <w:shd w:fill="1F2D3D" w:val="clear"/>
            <w:tcMar>
              <w:top w:type="dxa" w:w="80"/>
              <w:left w:type="dxa" w:w="100"/>
              <w:bottom w:type="dxa" w:w="80"/>
              <w:right w:type="dxa" w:w="100"/>
            </w:tcMar>
            <w:vAlign w:val="center"/>
          </w:tcPr>
          <w:p>
            <w:pPr>
              <w:jc w:val="left"/>
            </w:pPr>
            <w:r>
              <w:rPr>
                <w:b/>
                <w:bCs/>
                <w:color w:val="FFFFFF"/>
                <w:sz w:val="18"/>
                <w:szCs w:val="18"/>
              </w:rPr>
              <w:t xml:space="preserve">#</w:t>
            </w:r>
          </w:p>
        </w:tc>
        <w:tc>
          <w:tcPr>
            <w:tcW w:type="dxa" w:w="1800"/>
            <w:shd w:fill="1F2D3D" w:val="clear"/>
            <w:tcMar>
              <w:top w:type="dxa" w:w="80"/>
              <w:left w:type="dxa" w:w="100"/>
              <w:bottom w:type="dxa" w:w="80"/>
              <w:right w:type="dxa" w:w="100"/>
            </w:tcMar>
            <w:vAlign w:val="center"/>
          </w:tcPr>
          <w:p>
            <w:pPr>
              <w:jc w:val="left"/>
            </w:pPr>
            <w:r>
              <w:rPr>
                <w:b/>
                <w:bCs/>
                <w:color w:val="FFFFFF"/>
                <w:sz w:val="18"/>
                <w:szCs w:val="18"/>
              </w:rPr>
              <w:t xml:space="preserve">Category</w:t>
            </w:r>
          </w:p>
        </w:tc>
        <w:tc>
          <w:tcPr>
            <w:tcW w:type="dxa" w:w="6260"/>
            <w:shd w:fill="1F2D3D" w:val="clear"/>
            <w:tcMar>
              <w:top w:type="dxa" w:w="80"/>
              <w:left w:type="dxa" w:w="100"/>
              <w:bottom w:type="dxa" w:w="80"/>
              <w:right w:type="dxa" w:w="100"/>
            </w:tcMar>
            <w:vAlign w:val="center"/>
          </w:tcPr>
          <w:p>
            <w:pPr>
              <w:jc w:val="left"/>
            </w:pPr>
            <w:r>
              <w:rPr>
                <w:b/>
                <w:bCs/>
                <w:color w:val="FFFFFF"/>
                <w:sz w:val="18"/>
                <w:szCs w:val="18"/>
              </w:rPr>
              <w:t xml:space="preserve">Check</w:t>
            </w:r>
          </w:p>
        </w:tc>
        <w:tc>
          <w:tcPr>
            <w:tcW w:type="dxa" w:w="800"/>
            <w:shd w:fill="1F2D3D" w:val="clear"/>
            <w:tcMar>
              <w:top w:type="dxa" w:w="80"/>
              <w:left w:type="dxa" w:w="100"/>
              <w:bottom w:type="dxa" w:w="80"/>
              <w:right w:type="dxa" w:w="100"/>
            </w:tcMar>
            <w:vAlign w:val="center"/>
          </w:tcPr>
          <w:p>
            <w:pPr>
              <w:jc w:val="left"/>
            </w:pPr>
            <w:r>
              <w:rPr>
                <w:b/>
                <w:bCs/>
                <w:color w:val="FFFFFF"/>
                <w:sz w:val="18"/>
                <w:szCs w:val="18"/>
              </w:rPr>
              <w:t xml:space="preserve">Pass/Fail</w:t>
            </w:r>
          </w:p>
        </w:tc>
      </w:tr>
      <w:tr>
        <w:tc>
          <w:tcPr>
            <w:tcW w:type="dxa" w:w="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1</w:t>
            </w:r>
          </w:p>
        </w:tc>
        <w:tc>
          <w:tcPr>
            <w:tcW w:type="dxa" w:w="1800"/>
            <w:tcMar>
              <w:top w:type="dxa" w:w="80"/>
              <w:left w:type="dxa" w:w="100"/>
              <w:bottom w:type="dxa" w:w="80"/>
              <w:right w:type="dxa" w:w="100"/>
            </w:tcMar>
            <w:vAlign w:val="center"/>
          </w:tcPr>
          <w:p>
            <w:pPr>
              <w:jc w:val="left"/>
            </w:pPr>
            <w:r>
              <w:rPr>
                <w:b w:val="false"/>
                <w:bCs w:val="false"/>
                <w:color w:val="222222"/>
                <w:sz w:val="18"/>
                <w:szCs w:val="18"/>
              </w:rPr>
              <w:t xml:space="preserve">Material</w:t>
            </w:r>
          </w:p>
        </w:tc>
        <w:tc>
          <w:tcPr>
            <w:tcW w:type="dxa" w:w="6260"/>
            <w:tcMar>
              <w:top w:type="dxa" w:w="80"/>
              <w:left w:type="dxa" w:w="100"/>
              <w:bottom w:type="dxa" w:w="80"/>
              <w:right w:type="dxa" w:w="100"/>
            </w:tcMar>
            <w:vAlign w:val="center"/>
          </w:tcPr>
          <w:p>
            <w:pPr>
              <w:jc w:val="left"/>
            </w:pPr>
            <w:r>
              <w:rPr>
                <w:b w:val="false"/>
                <w:bCs w:val="false"/>
                <w:color w:val="222222"/>
                <w:sz w:val="18"/>
                <w:szCs w:val="18"/>
              </w:rPr>
              <w:t xml:space="preserve">XRF assay confirms ≥92.5% silver content</w:t>
            </w:r>
          </w:p>
        </w:tc>
        <w:tc>
          <w:tcPr>
            <w:tcW w:type="dxa" w:w="800"/>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2</w:t>
            </w:r>
          </w:p>
        </w:tc>
        <w:tc>
          <w:tcPr>
            <w:tcW w:type="dxa" w:w="1800"/>
            <w:tcMar>
              <w:top w:type="dxa" w:w="80"/>
              <w:left w:type="dxa" w:w="100"/>
              <w:bottom w:type="dxa" w:w="80"/>
              <w:right w:type="dxa" w:w="100"/>
            </w:tcMar>
            <w:vAlign w:val="center"/>
          </w:tcPr>
          <w:p>
            <w:pPr>
              <w:jc w:val="left"/>
            </w:pPr>
            <w:r>
              <w:rPr>
                <w:b w:val="false"/>
                <w:bCs w:val="false"/>
                <w:color w:val="222222"/>
                <w:sz w:val="18"/>
                <w:szCs w:val="18"/>
              </w:rPr>
              <w:t xml:space="preserve">Ring size</w:t>
            </w:r>
          </w:p>
        </w:tc>
        <w:tc>
          <w:tcPr>
            <w:tcW w:type="dxa" w:w="6260"/>
            <w:tcMar>
              <w:top w:type="dxa" w:w="80"/>
              <w:left w:type="dxa" w:w="100"/>
              <w:bottom w:type="dxa" w:w="80"/>
              <w:right w:type="dxa" w:w="100"/>
            </w:tcMar>
            <w:vAlign w:val="center"/>
          </w:tcPr>
          <w:p>
            <w:pPr>
              <w:jc w:val="left"/>
            </w:pPr>
            <w:r>
              <w:rPr>
                <w:b w:val="false"/>
                <w:bCs w:val="false"/>
                <w:color w:val="222222"/>
                <w:sz w:val="18"/>
                <w:szCs w:val="18"/>
              </w:rPr>
              <w:t xml:space="preserve">Inner diameter gauge check reads 17.3 mm ±0.1 mm</w:t>
            </w:r>
          </w:p>
        </w:tc>
        <w:tc>
          <w:tcPr>
            <w:tcW w:type="dxa" w:w="800"/>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3</w:t>
            </w:r>
          </w:p>
        </w:tc>
        <w:tc>
          <w:tcPr>
            <w:tcW w:type="dxa" w:w="1800"/>
            <w:tcMar>
              <w:top w:type="dxa" w:w="80"/>
              <w:left w:type="dxa" w:w="100"/>
              <w:bottom w:type="dxa" w:w="80"/>
              <w:right w:type="dxa" w:w="100"/>
            </w:tcMar>
            <w:vAlign w:val="center"/>
          </w:tcPr>
          <w:p>
            <w:pPr>
              <w:jc w:val="left"/>
            </w:pPr>
            <w:r>
              <w:rPr>
                <w:b w:val="false"/>
                <w:bCs w:val="false"/>
                <w:color w:val="222222"/>
                <w:sz w:val="18"/>
                <w:szCs w:val="18"/>
              </w:rPr>
              <w:t xml:space="preserve">Weight</w:t>
            </w:r>
          </w:p>
        </w:tc>
        <w:tc>
          <w:tcPr>
            <w:tcW w:type="dxa" w:w="6260"/>
            <w:tcMar>
              <w:top w:type="dxa" w:w="80"/>
              <w:left w:type="dxa" w:w="100"/>
              <w:bottom w:type="dxa" w:w="80"/>
              <w:right w:type="dxa" w:w="100"/>
            </w:tcMar>
            <w:vAlign w:val="center"/>
          </w:tcPr>
          <w:p>
            <w:pPr>
              <w:jc w:val="left"/>
            </w:pPr>
            <w:r>
              <w:rPr>
                <w:b w:val="false"/>
                <w:bCs w:val="false"/>
                <w:color w:val="222222"/>
                <w:sz w:val="18"/>
                <w:szCs w:val="18"/>
              </w:rPr>
              <w:t xml:space="preserve">Finished weight within ±0.3 g of approved CAD mass properties</w:t>
            </w:r>
          </w:p>
        </w:tc>
        <w:tc>
          <w:tcPr>
            <w:tcW w:type="dxa" w:w="800"/>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4</w:t>
            </w:r>
          </w:p>
        </w:tc>
        <w:tc>
          <w:tcPr>
            <w:tcW w:type="dxa" w:w="1800"/>
            <w:tcMar>
              <w:top w:type="dxa" w:w="80"/>
              <w:left w:type="dxa" w:w="100"/>
              <w:bottom w:type="dxa" w:w="80"/>
              <w:right w:type="dxa" w:w="100"/>
            </w:tcMar>
            <w:vAlign w:val="center"/>
          </w:tcPr>
          <w:p>
            <w:pPr>
              <w:jc w:val="left"/>
            </w:pPr>
            <w:r>
              <w:rPr>
                <w:b w:val="false"/>
                <w:bCs w:val="false"/>
                <w:color w:val="222222"/>
                <w:sz w:val="18"/>
                <w:szCs w:val="18"/>
              </w:rPr>
              <w:t xml:space="preserve">Stone security</w:t>
            </w:r>
          </w:p>
        </w:tc>
        <w:tc>
          <w:tcPr>
            <w:tcW w:type="dxa" w:w="6260"/>
            <w:tcMar>
              <w:top w:type="dxa" w:w="80"/>
              <w:left w:type="dxa" w:w="100"/>
              <w:bottom w:type="dxa" w:w="80"/>
              <w:right w:type="dxa" w:w="100"/>
            </w:tcMar>
            <w:vAlign w:val="center"/>
          </w:tcPr>
          <w:p>
            <w:pPr>
              <w:jc w:val="left"/>
            </w:pPr>
            <w:r>
              <w:rPr>
                <w:b w:val="false"/>
                <w:bCs w:val="false"/>
                <w:color w:val="222222"/>
                <w:sz w:val="18"/>
                <w:szCs w:val="18"/>
              </w:rPr>
              <w:t xml:space="preserve">Push-test on all 4 prongs individually — zero stone movement or rocking</w:t>
            </w:r>
          </w:p>
        </w:tc>
        <w:tc>
          <w:tcPr>
            <w:tcW w:type="dxa" w:w="800"/>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5</w:t>
            </w:r>
          </w:p>
        </w:tc>
        <w:tc>
          <w:tcPr>
            <w:tcW w:type="dxa" w:w="1800"/>
            <w:tcMar>
              <w:top w:type="dxa" w:w="80"/>
              <w:left w:type="dxa" w:w="100"/>
              <w:bottom w:type="dxa" w:w="80"/>
              <w:right w:type="dxa" w:w="100"/>
            </w:tcMar>
            <w:vAlign w:val="center"/>
          </w:tcPr>
          <w:p>
            <w:pPr>
              <w:jc w:val="left"/>
            </w:pPr>
            <w:r>
              <w:rPr>
                <w:b w:val="false"/>
                <w:bCs w:val="false"/>
                <w:color w:val="222222"/>
                <w:sz w:val="18"/>
                <w:szCs w:val="18"/>
              </w:rPr>
              <w:t xml:space="preserve">Stone orientation</w:t>
            </w:r>
          </w:p>
        </w:tc>
        <w:tc>
          <w:tcPr>
            <w:tcW w:type="dxa" w:w="6260"/>
            <w:tcMar>
              <w:top w:type="dxa" w:w="80"/>
              <w:left w:type="dxa" w:w="100"/>
              <w:bottom w:type="dxa" w:w="80"/>
              <w:right w:type="dxa" w:w="100"/>
            </w:tcMar>
            <w:vAlign w:val="center"/>
          </w:tcPr>
          <w:p>
            <w:pPr>
              <w:jc w:val="left"/>
            </w:pPr>
            <w:r>
              <w:rPr>
                <w:b w:val="false"/>
                <w:bCs w:val="false"/>
                <w:color w:val="222222"/>
                <w:sz w:val="18"/>
                <w:szCs w:val="18"/>
              </w:rPr>
              <w:t xml:space="preserve">Heart point aligned to shank centerline per Section 4 spec</w:t>
            </w:r>
          </w:p>
        </w:tc>
        <w:tc>
          <w:tcPr>
            <w:tcW w:type="dxa" w:w="800"/>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6</w:t>
            </w:r>
          </w:p>
        </w:tc>
        <w:tc>
          <w:tcPr>
            <w:tcW w:type="dxa" w:w="1800"/>
            <w:tcMar>
              <w:top w:type="dxa" w:w="80"/>
              <w:left w:type="dxa" w:w="100"/>
              <w:bottom w:type="dxa" w:w="80"/>
              <w:right w:type="dxa" w:w="100"/>
            </w:tcMar>
            <w:vAlign w:val="center"/>
          </w:tcPr>
          <w:p>
            <w:pPr>
              <w:jc w:val="left"/>
            </w:pPr>
            <w:r>
              <w:rPr>
                <w:b w:val="false"/>
                <w:bCs w:val="false"/>
                <w:color w:val="222222"/>
                <w:sz w:val="18"/>
                <w:szCs w:val="18"/>
              </w:rPr>
              <w:t xml:space="preserve">Motif symmetry</w:t>
            </w:r>
          </w:p>
        </w:tc>
        <w:tc>
          <w:tcPr>
            <w:tcW w:type="dxa" w:w="6260"/>
            <w:tcMar>
              <w:top w:type="dxa" w:w="80"/>
              <w:left w:type="dxa" w:w="100"/>
              <w:bottom w:type="dxa" w:w="80"/>
              <w:right w:type="dxa" w:w="100"/>
            </w:tcMar>
            <w:vAlign w:val="center"/>
          </w:tcPr>
          <w:p>
            <w:pPr>
              <w:jc w:val="left"/>
            </w:pPr>
            <w:r>
              <w:rPr>
                <w:b w:val="false"/>
                <w:bCs w:val="false"/>
                <w:color w:val="222222"/>
                <w:sz w:val="18"/>
                <w:szCs w:val="18"/>
              </w:rPr>
              <w:t xml:space="preserve">Left and right shoulder motifs are true mirror images — check against master CAD render, not "close enough by eye"</w:t>
            </w:r>
          </w:p>
        </w:tc>
        <w:tc>
          <w:tcPr>
            <w:tcW w:type="dxa" w:w="800"/>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7</w:t>
            </w:r>
          </w:p>
        </w:tc>
        <w:tc>
          <w:tcPr>
            <w:tcW w:type="dxa" w:w="1800"/>
            <w:tcMar>
              <w:top w:type="dxa" w:w="80"/>
              <w:left w:type="dxa" w:w="100"/>
              <w:bottom w:type="dxa" w:w="80"/>
              <w:right w:type="dxa" w:w="100"/>
            </w:tcMar>
            <w:vAlign w:val="center"/>
          </w:tcPr>
          <w:p>
            <w:pPr>
              <w:jc w:val="left"/>
            </w:pPr>
            <w:r>
              <w:rPr>
                <w:b w:val="false"/>
                <w:bCs w:val="false"/>
                <w:color w:val="222222"/>
                <w:sz w:val="18"/>
                <w:szCs w:val="18"/>
              </w:rPr>
              <w:t xml:space="preserve">Motif accuracy</w:t>
            </w:r>
          </w:p>
        </w:tc>
        <w:tc>
          <w:tcPr>
            <w:tcW w:type="dxa" w:w="6260"/>
            <w:tcMar>
              <w:top w:type="dxa" w:w="80"/>
              <w:left w:type="dxa" w:w="100"/>
              <w:bottom w:type="dxa" w:w="80"/>
              <w:right w:type="dxa" w:w="100"/>
            </w:tcMar>
            <w:vAlign w:val="center"/>
          </w:tcPr>
          <w:p>
            <w:pPr>
              <w:jc w:val="left"/>
            </w:pPr>
            <w:r>
              <w:rPr>
                <w:b w:val="false"/>
                <w:bCs w:val="false"/>
                <w:color w:val="222222"/>
                <w:sz w:val="18"/>
                <w:szCs w:val="18"/>
              </w:rPr>
              <w:t xml:space="preserve">Link count, shape, and pitch match approved reference-image spec (Section 6)</w:t>
            </w:r>
          </w:p>
        </w:tc>
        <w:tc>
          <w:tcPr>
            <w:tcW w:type="dxa" w:w="800"/>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8</w:t>
            </w:r>
          </w:p>
        </w:tc>
        <w:tc>
          <w:tcPr>
            <w:tcW w:type="dxa" w:w="1800"/>
            <w:tcMar>
              <w:top w:type="dxa" w:w="80"/>
              <w:left w:type="dxa" w:w="100"/>
              <w:bottom w:type="dxa" w:w="80"/>
              <w:right w:type="dxa" w:w="100"/>
            </w:tcMar>
            <w:vAlign w:val="center"/>
          </w:tcPr>
          <w:p>
            <w:pPr>
              <w:jc w:val="left"/>
            </w:pPr>
            <w:r>
              <w:rPr>
                <w:b w:val="false"/>
                <w:bCs w:val="false"/>
                <w:color w:val="222222"/>
                <w:sz w:val="18"/>
                <w:szCs w:val="18"/>
              </w:rPr>
              <w:t xml:space="preserve">Surface finish</w:t>
            </w:r>
          </w:p>
        </w:tc>
        <w:tc>
          <w:tcPr>
            <w:tcW w:type="dxa" w:w="6260"/>
            <w:tcMar>
              <w:top w:type="dxa" w:w="80"/>
              <w:left w:type="dxa" w:w="100"/>
              <w:bottom w:type="dxa" w:w="80"/>
              <w:right w:type="dxa" w:w="100"/>
            </w:tcMar>
            <w:vAlign w:val="center"/>
          </w:tcPr>
          <w:p>
            <w:pPr>
              <w:jc w:val="left"/>
            </w:pPr>
            <w:r>
              <w:rPr>
                <w:b w:val="false"/>
                <w:bCs w:val="false"/>
                <w:color w:val="222222"/>
                <w:sz w:val="18"/>
                <w:szCs w:val="18"/>
              </w:rPr>
              <w:t xml:space="preserve">Full mirror polish, no visible casting porosity, no fire scale, no tool/file marks, undercuts of motif fully polished</w:t>
            </w:r>
          </w:p>
        </w:tc>
        <w:tc>
          <w:tcPr>
            <w:tcW w:type="dxa" w:w="800"/>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9</w:t>
            </w:r>
          </w:p>
        </w:tc>
        <w:tc>
          <w:tcPr>
            <w:tcW w:type="dxa" w:w="1800"/>
            <w:tcMar>
              <w:top w:type="dxa" w:w="80"/>
              <w:left w:type="dxa" w:w="100"/>
              <w:bottom w:type="dxa" w:w="80"/>
              <w:right w:type="dxa" w:w="100"/>
            </w:tcMar>
            <w:vAlign w:val="center"/>
          </w:tcPr>
          <w:p>
            <w:pPr>
              <w:jc w:val="left"/>
            </w:pPr>
            <w:r>
              <w:rPr>
                <w:b w:val="false"/>
                <w:bCs w:val="false"/>
                <w:color w:val="222222"/>
                <w:sz w:val="18"/>
                <w:szCs w:val="18"/>
              </w:rPr>
              <w:t xml:space="preserve">Prong finishing</w:t>
            </w:r>
          </w:p>
        </w:tc>
        <w:tc>
          <w:tcPr>
            <w:tcW w:type="dxa" w:w="6260"/>
            <w:tcMar>
              <w:top w:type="dxa" w:w="80"/>
              <w:left w:type="dxa" w:w="100"/>
              <w:bottom w:type="dxa" w:w="80"/>
              <w:right w:type="dxa" w:w="100"/>
            </w:tcMar>
            <w:vAlign w:val="center"/>
          </w:tcPr>
          <w:p>
            <w:pPr>
              <w:jc w:val="left"/>
            </w:pPr>
            <w:r>
              <w:rPr>
                <w:b w:val="false"/>
                <w:bCs w:val="false"/>
                <w:color w:val="222222"/>
                <w:sz w:val="18"/>
                <w:szCs w:val="18"/>
              </w:rPr>
              <w:t xml:space="preserve">No sharp/snag edges on any prong tip; cleft prong (Prong 2) correctly notched/split</w:t>
            </w:r>
          </w:p>
        </w:tc>
        <w:tc>
          <w:tcPr>
            <w:tcW w:type="dxa" w:w="800"/>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10</w:t>
            </w:r>
          </w:p>
        </w:tc>
        <w:tc>
          <w:tcPr>
            <w:tcW w:type="dxa" w:w="1800"/>
            <w:tcMar>
              <w:top w:type="dxa" w:w="80"/>
              <w:left w:type="dxa" w:w="100"/>
              <w:bottom w:type="dxa" w:w="80"/>
              <w:right w:type="dxa" w:w="100"/>
            </w:tcMar>
            <w:vAlign w:val="center"/>
          </w:tcPr>
          <w:p>
            <w:pPr>
              <w:jc w:val="left"/>
            </w:pPr>
            <w:r>
              <w:rPr>
                <w:b w:val="false"/>
                <w:bCs w:val="false"/>
                <w:color w:val="222222"/>
                <w:sz w:val="18"/>
                <w:szCs w:val="18"/>
              </w:rPr>
              <w:t xml:space="preserve">Prong coverage</w:t>
            </w:r>
          </w:p>
        </w:tc>
        <w:tc>
          <w:tcPr>
            <w:tcW w:type="dxa" w:w="6260"/>
            <w:tcMar>
              <w:top w:type="dxa" w:w="80"/>
              <w:left w:type="dxa" w:w="100"/>
              <w:bottom w:type="dxa" w:w="80"/>
              <w:right w:type="dxa" w:w="100"/>
            </w:tcMar>
            <w:vAlign w:val="center"/>
          </w:tcPr>
          <w:p>
            <w:pPr>
              <w:jc w:val="left"/>
            </w:pPr>
            <w:r>
              <w:rPr>
                <w:b w:val="false"/>
                <w:bCs w:val="false"/>
                <w:color w:val="222222"/>
                <w:sz w:val="18"/>
                <w:szCs w:val="18"/>
              </w:rPr>
              <w:t xml:space="preserve">Each prong covers girdle by 0.6–0.8 mm without obscuring crown facets</w:t>
            </w:r>
          </w:p>
        </w:tc>
        <w:tc>
          <w:tcPr>
            <w:tcW w:type="dxa" w:w="800"/>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11</w:t>
            </w:r>
          </w:p>
        </w:tc>
        <w:tc>
          <w:tcPr>
            <w:tcW w:type="dxa" w:w="1800"/>
            <w:tcMar>
              <w:top w:type="dxa" w:w="80"/>
              <w:left w:type="dxa" w:w="100"/>
              <w:bottom w:type="dxa" w:w="80"/>
              <w:right w:type="dxa" w:w="100"/>
            </w:tcMar>
            <w:vAlign w:val="center"/>
          </w:tcPr>
          <w:p>
            <w:pPr>
              <w:jc w:val="left"/>
            </w:pPr>
            <w:r>
              <w:rPr>
                <w:b w:val="false"/>
                <w:bCs w:val="false"/>
                <w:color w:val="222222"/>
                <w:sz w:val="18"/>
                <w:szCs w:val="18"/>
              </w:rPr>
              <w:t xml:space="preserve">Hallmark</w:t>
            </w:r>
          </w:p>
        </w:tc>
        <w:tc>
          <w:tcPr>
            <w:tcW w:type="dxa" w:w="6260"/>
            <w:tcMar>
              <w:top w:type="dxa" w:w="80"/>
              <w:left w:type="dxa" w:w="100"/>
              <w:bottom w:type="dxa" w:w="80"/>
              <w:right w:type="dxa" w:w="100"/>
            </w:tcMar>
            <w:vAlign w:val="center"/>
          </w:tcPr>
          <w:p>
            <w:pPr>
              <w:jc w:val="left"/>
            </w:pPr>
            <w:r>
              <w:rPr>
                <w:b w:val="false"/>
                <w:bCs w:val="false"/>
                <w:color w:val="222222"/>
                <w:sz w:val="18"/>
                <w:szCs w:val="18"/>
              </w:rPr>
              <w:t xml:space="preserve">"925" + maker's mark present, legible at 10x, correctly positioned on interior shank</w:t>
            </w:r>
          </w:p>
        </w:tc>
        <w:tc>
          <w:tcPr>
            <w:tcW w:type="dxa" w:w="800"/>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12</w:t>
            </w:r>
          </w:p>
        </w:tc>
        <w:tc>
          <w:tcPr>
            <w:tcW w:type="dxa" w:w="1800"/>
            <w:tcMar>
              <w:top w:type="dxa" w:w="80"/>
              <w:left w:type="dxa" w:w="100"/>
              <w:bottom w:type="dxa" w:w="80"/>
              <w:right w:type="dxa" w:w="100"/>
            </w:tcMar>
            <w:vAlign w:val="center"/>
          </w:tcPr>
          <w:p>
            <w:pPr>
              <w:jc w:val="left"/>
            </w:pPr>
            <w:r>
              <w:rPr>
                <w:b w:val="false"/>
                <w:bCs w:val="false"/>
                <w:color w:val="222222"/>
                <w:sz w:val="18"/>
                <w:szCs w:val="18"/>
              </w:rPr>
              <w:t xml:space="preserve">Stone quality</w:t>
            </w:r>
          </w:p>
        </w:tc>
        <w:tc>
          <w:tcPr>
            <w:tcW w:type="dxa" w:w="6260"/>
            <w:tcMar>
              <w:top w:type="dxa" w:w="80"/>
              <w:left w:type="dxa" w:w="100"/>
              <w:bottom w:type="dxa" w:w="80"/>
              <w:right w:type="dxa" w:w="100"/>
            </w:tcMar>
            <w:vAlign w:val="center"/>
          </w:tcPr>
          <w:p>
            <w:pPr>
              <w:jc w:val="left"/>
            </w:pPr>
            <w:r>
              <w:rPr>
                <w:b w:val="false"/>
                <w:bCs w:val="false"/>
                <w:color w:val="222222"/>
                <w:sz w:val="18"/>
                <w:szCs w:val="18"/>
              </w:rPr>
              <w:t xml:space="preserve">No visible chips or cracks, especially at the cleft and point (highest-risk zones); inclusions consistent with certified clarity grade</w:t>
            </w:r>
          </w:p>
        </w:tc>
        <w:tc>
          <w:tcPr>
            <w:tcW w:type="dxa" w:w="800"/>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13</w:t>
            </w:r>
          </w:p>
        </w:tc>
        <w:tc>
          <w:tcPr>
            <w:tcW w:type="dxa" w:w="1800"/>
            <w:tcMar>
              <w:top w:type="dxa" w:w="80"/>
              <w:left w:type="dxa" w:w="100"/>
              <w:bottom w:type="dxa" w:w="80"/>
              <w:right w:type="dxa" w:w="100"/>
            </w:tcMar>
            <w:vAlign w:val="center"/>
          </w:tcPr>
          <w:p>
            <w:pPr>
              <w:jc w:val="left"/>
            </w:pPr>
            <w:r>
              <w:rPr>
                <w:b w:val="false"/>
                <w:bCs w:val="false"/>
                <w:color w:val="222222"/>
                <w:sz w:val="18"/>
                <w:szCs w:val="18"/>
              </w:rPr>
              <w:t xml:space="preserve">Cleanliness</w:t>
            </w:r>
          </w:p>
        </w:tc>
        <w:tc>
          <w:tcPr>
            <w:tcW w:type="dxa" w:w="6260"/>
            <w:tcMar>
              <w:top w:type="dxa" w:w="80"/>
              <w:left w:type="dxa" w:w="100"/>
              <w:bottom w:type="dxa" w:w="80"/>
              <w:right w:type="dxa" w:w="100"/>
            </w:tcMar>
            <w:vAlign w:val="center"/>
          </w:tcPr>
          <w:p>
            <w:pPr>
              <w:jc w:val="left"/>
            </w:pPr>
            <w:r>
              <w:rPr>
                <w:b w:val="false"/>
                <w:bCs w:val="false"/>
                <w:color w:val="222222"/>
                <w:sz w:val="18"/>
                <w:szCs w:val="18"/>
              </w:rPr>
              <w:t xml:space="preserve">No polishing compound residue in motif undercuts or under prongs — check under 10x loupe</w:t>
            </w:r>
          </w:p>
        </w:tc>
        <w:tc>
          <w:tcPr>
            <w:tcW w:type="dxa" w:w="800"/>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14</w:t>
            </w:r>
          </w:p>
        </w:tc>
        <w:tc>
          <w:tcPr>
            <w:tcW w:type="dxa" w:w="1800"/>
            <w:tcMar>
              <w:top w:type="dxa" w:w="80"/>
              <w:left w:type="dxa" w:w="100"/>
              <w:bottom w:type="dxa" w:w="80"/>
              <w:right w:type="dxa" w:w="100"/>
            </w:tcMar>
            <w:vAlign w:val="center"/>
          </w:tcPr>
          <w:p>
            <w:pPr>
              <w:jc w:val="left"/>
            </w:pPr>
            <w:r>
              <w:rPr>
                <w:b w:val="false"/>
                <w:bCs w:val="false"/>
                <w:color w:val="222222"/>
                <w:sz w:val="18"/>
                <w:szCs w:val="18"/>
              </w:rPr>
              <w:t xml:space="preserve">No unauthorized finish</w:t>
            </w:r>
          </w:p>
        </w:tc>
        <w:tc>
          <w:tcPr>
            <w:tcW w:type="dxa" w:w="6260"/>
            <w:tcMar>
              <w:top w:type="dxa" w:w="80"/>
              <w:left w:type="dxa" w:w="100"/>
              <w:bottom w:type="dxa" w:w="80"/>
              <w:right w:type="dxa" w:w="100"/>
            </w:tcMar>
            <w:vAlign w:val="center"/>
          </w:tcPr>
          <w:p>
            <w:pPr>
              <w:jc w:val="left"/>
            </w:pPr>
            <w:r>
              <w:rPr>
                <w:b w:val="false"/>
                <w:bCs w:val="false"/>
                <w:color w:val="222222"/>
                <w:sz w:val="18"/>
                <w:szCs w:val="18"/>
              </w:rPr>
              <w:t xml:space="preserve">Confirm NO rhodium plating, NO anti-tarnish coating was applied</w:t>
            </w:r>
          </w:p>
        </w:tc>
        <w:tc>
          <w:tcPr>
            <w:tcW w:type="dxa" w:w="800"/>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15</w:t>
            </w:r>
          </w:p>
        </w:tc>
        <w:tc>
          <w:tcPr>
            <w:tcW w:type="dxa" w:w="1800"/>
            <w:tcMar>
              <w:top w:type="dxa" w:w="80"/>
              <w:left w:type="dxa" w:w="100"/>
              <w:bottom w:type="dxa" w:w="80"/>
              <w:right w:type="dxa" w:w="100"/>
            </w:tcMar>
            <w:vAlign w:val="center"/>
          </w:tcPr>
          <w:p>
            <w:pPr>
              <w:jc w:val="left"/>
            </w:pPr>
            <w:r>
              <w:rPr>
                <w:b w:val="false"/>
                <w:bCs w:val="false"/>
                <w:color w:val="222222"/>
                <w:sz w:val="18"/>
                <w:szCs w:val="18"/>
              </w:rPr>
              <w:t xml:space="preserve">Certification</w:t>
            </w:r>
          </w:p>
        </w:tc>
        <w:tc>
          <w:tcPr>
            <w:tcW w:type="dxa" w:w="6260"/>
            <w:tcMar>
              <w:top w:type="dxa" w:w="80"/>
              <w:left w:type="dxa" w:w="100"/>
              <w:bottom w:type="dxa" w:w="80"/>
              <w:right w:type="dxa" w:w="100"/>
            </w:tcMar>
            <w:vAlign w:val="center"/>
          </w:tcPr>
          <w:p>
            <w:pPr>
              <w:jc w:val="left"/>
            </w:pPr>
            <w:r>
              <w:rPr>
                <w:b w:val="false"/>
                <w:bCs w:val="false"/>
                <w:color w:val="222222"/>
                <w:sz w:val="18"/>
                <w:szCs w:val="18"/>
              </w:rPr>
              <w:t xml:space="preserve">Gemological report accompanies stone; matches stone actually set (cross-check measurements)</w:t>
            </w:r>
          </w:p>
        </w:tc>
        <w:tc>
          <w:tcPr>
            <w:tcW w:type="dxa" w:w="800"/>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16</w:t>
            </w:r>
          </w:p>
        </w:tc>
        <w:tc>
          <w:tcPr>
            <w:tcW w:type="dxa" w:w="1800"/>
            <w:tcMar>
              <w:top w:type="dxa" w:w="80"/>
              <w:left w:type="dxa" w:w="100"/>
              <w:bottom w:type="dxa" w:w="80"/>
              <w:right w:type="dxa" w:w="100"/>
            </w:tcMar>
            <w:vAlign w:val="center"/>
          </w:tcPr>
          <w:p>
            <w:pPr>
              <w:jc w:val="left"/>
            </w:pPr>
            <w:r>
              <w:rPr>
                <w:b w:val="false"/>
                <w:bCs w:val="false"/>
                <w:color w:val="222222"/>
                <w:sz w:val="18"/>
                <w:szCs w:val="18"/>
              </w:rPr>
              <w:t xml:space="preserve">Packaging</w:t>
            </w:r>
          </w:p>
        </w:tc>
        <w:tc>
          <w:tcPr>
            <w:tcW w:type="dxa" w:w="6260"/>
            <w:tcMar>
              <w:top w:type="dxa" w:w="80"/>
              <w:left w:type="dxa" w:w="100"/>
              <w:bottom w:type="dxa" w:w="80"/>
              <w:right w:type="dxa" w:w="100"/>
            </w:tcMar>
            <w:vAlign w:val="center"/>
          </w:tcPr>
          <w:p>
            <w:pPr>
              <w:jc w:val="left"/>
            </w:pPr>
            <w:r>
              <w:rPr>
                <w:b w:val="false"/>
                <w:bCs w:val="false"/>
                <w:color w:val="222222"/>
                <w:sz w:val="18"/>
                <w:szCs w:val="18"/>
              </w:rPr>
              <w:t xml:space="preserve">Ring box + gem certificate included; no anti-tarnish strips in packaging</w:t>
            </w:r>
          </w:p>
        </w:tc>
        <w:tc>
          <w:tcPr>
            <w:tcW w:type="dxa" w:w="800"/>
            <w:tcMar>
              <w:top w:type="dxa" w:w="80"/>
              <w:left w:type="dxa" w:w="100"/>
              <w:bottom w:type="dxa" w:w="80"/>
              <w:right w:type="dxa" w:w="100"/>
            </w:tcMar>
            <w:vAlign w:val="center"/>
          </w:tcPr>
          <w:p>
            <w:pPr>
              <w:jc w:val="left"/>
            </w:pPr>
            <w:r>
              <w:rPr>
                <w:b w:val="false"/>
                <w:bCs w:val="false"/>
                <w:color w:val="222222"/>
                <w:sz w:val="18"/>
                <w:szCs w:val="18"/>
              </w:rPr>
              <w:t xml:space="preserve"/>
            </w:r>
          </w:p>
        </w:tc>
      </w:tr>
    </w:tbl>
    <w:p>
      <w:pPr>
        <w:pStyle w:val="Heading1"/>
        <w:pBdr>
          <w:bottom w:val="single" w:color="2E6B4F" w:sz="8" w:space="4"/>
        </w:pBdr>
        <w:spacing w:after="200" w:before="400"/>
      </w:pPr>
      <w:r>
        <w:rPr>
          <w:b/>
          <w:bCs/>
          <w:color w:val="1F2D3D"/>
          <w:sz w:val="30"/>
          <w:szCs w:val="30"/>
        </w:rPr>
        <w:t xml:space="preserve">13. Sign-Off /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160"/>
      </w:tblGrid>
      <w:tr>
        <w:tc>
          <w:tcPr>
            <w:tcW w:type="dxa" w:w="2400"/>
            <w:shd w:fill="1F2D3D" w:val="clear"/>
            <w:tcMar>
              <w:top w:type="dxa" w:w="80"/>
              <w:left w:type="dxa" w:w="100"/>
              <w:bottom w:type="dxa" w:w="80"/>
              <w:right w:type="dxa" w:w="100"/>
            </w:tcMar>
            <w:vAlign w:val="center"/>
          </w:tcPr>
          <w:p>
            <w:pPr>
              <w:jc w:val="left"/>
            </w:pPr>
            <w:r>
              <w:rPr>
                <w:b/>
                <w:bCs/>
                <w:color w:val="FFFFFF"/>
                <w:sz w:val="18"/>
                <w:szCs w:val="18"/>
              </w:rPr>
              <w:t xml:space="preserve">Role</w:t>
            </w:r>
          </w:p>
        </w:tc>
        <w:tc>
          <w:tcPr>
            <w:tcW w:type="dxa" w:w="2400"/>
            <w:shd w:fill="1F2D3D" w:val="clear"/>
            <w:tcMar>
              <w:top w:type="dxa" w:w="80"/>
              <w:left w:type="dxa" w:w="100"/>
              <w:bottom w:type="dxa" w:w="80"/>
              <w:right w:type="dxa" w:w="100"/>
            </w:tcMar>
            <w:vAlign w:val="center"/>
          </w:tcPr>
          <w:p>
            <w:pPr>
              <w:jc w:val="left"/>
            </w:pPr>
            <w:r>
              <w:rPr>
                <w:b/>
                <w:bCs/>
                <w:color w:val="FFFFFF"/>
                <w:sz w:val="18"/>
                <w:szCs w:val="18"/>
              </w:rPr>
              <w:t xml:space="preserve">Name</w:t>
            </w:r>
          </w:p>
        </w:tc>
        <w:tc>
          <w:tcPr>
            <w:tcW w:type="dxa" w:w="2400"/>
            <w:shd w:fill="1F2D3D" w:val="clear"/>
            <w:tcMar>
              <w:top w:type="dxa" w:w="80"/>
              <w:left w:type="dxa" w:w="100"/>
              <w:bottom w:type="dxa" w:w="80"/>
              <w:right w:type="dxa" w:w="100"/>
            </w:tcMar>
            <w:vAlign w:val="center"/>
          </w:tcPr>
          <w:p>
            <w:pPr>
              <w:jc w:val="left"/>
            </w:pPr>
            <w:r>
              <w:rPr>
                <w:b/>
                <w:bCs/>
                <w:color w:val="FFFFFF"/>
                <w:sz w:val="18"/>
                <w:szCs w:val="18"/>
              </w:rPr>
              <w:t xml:space="preserve">Signature</w:t>
            </w:r>
          </w:p>
        </w:tc>
        <w:tc>
          <w:tcPr>
            <w:tcW w:type="dxa" w:w="1160"/>
            <w:shd w:fill="1F2D3D" w:val="clear"/>
            <w:tcMar>
              <w:top w:type="dxa" w:w="80"/>
              <w:left w:type="dxa" w:w="100"/>
              <w:bottom w:type="dxa" w:w="80"/>
              <w:right w:type="dxa" w:w="100"/>
            </w:tcMar>
            <w:vAlign w:val="center"/>
          </w:tcPr>
          <w:p>
            <w:pPr>
              <w:jc w:val="left"/>
            </w:pPr>
            <w:r>
              <w:rPr>
                <w:b/>
                <w:bCs/>
                <w:color w:val="FFFFFF"/>
                <w:sz w:val="18"/>
                <w:szCs w:val="18"/>
              </w:rPr>
              <w:t xml:space="preserve">Date</w:t>
            </w:r>
          </w:p>
        </w:tc>
      </w:tr>
      <w:tr>
        <w:tc>
          <w:tcPr>
            <w:tcW w:type="dxa" w:w="24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Designer (Chaos Incorporated)</w:t>
            </w:r>
          </w:p>
        </w:tc>
        <w:tc>
          <w:tcPr>
            <w:tcW w:type="dxa" w:w="2400"/>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2400"/>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1160"/>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24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Factory Representative</w:t>
            </w:r>
          </w:p>
        </w:tc>
        <w:tc>
          <w:tcPr>
            <w:tcW w:type="dxa" w:w="2400"/>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2400"/>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1160"/>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2400"/>
            <w:shd w:fill="EFF3F1" w:val="clear"/>
            <w:tcMar>
              <w:top w:type="dxa" w:w="80"/>
              <w:left w:type="dxa" w:w="100"/>
              <w:bottom w:type="dxa" w:w="80"/>
              <w:right w:type="dxa" w:w="100"/>
            </w:tcMar>
            <w:vAlign w:val="center"/>
          </w:tcPr>
          <w:p>
            <w:pPr>
              <w:jc w:val="left"/>
            </w:pPr>
            <w:r>
              <w:rPr>
                <w:b w:val="false"/>
                <w:bCs w:val="false"/>
                <w:color w:val="222222"/>
                <w:sz w:val="18"/>
                <w:szCs w:val="18"/>
              </w:rPr>
              <w:t xml:space="preserve">Client (Renn)</w:t>
            </w:r>
          </w:p>
        </w:tc>
        <w:tc>
          <w:tcPr>
            <w:tcW w:type="dxa" w:w="2400"/>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2400"/>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1160"/>
            <w:tcMar>
              <w:top w:type="dxa" w:w="80"/>
              <w:left w:type="dxa" w:w="100"/>
              <w:bottom w:type="dxa" w:w="80"/>
              <w:right w:type="dxa" w:w="100"/>
            </w:tcMar>
            <w:vAlign w:val="center"/>
          </w:tcPr>
          <w:p>
            <w:pPr>
              <w:jc w:val="left"/>
            </w:pPr>
            <w:r>
              <w:rPr>
                <w:b w:val="false"/>
                <w:bCs w:val="false"/>
                <w:color w:val="222222"/>
                <w:sz w:val="18"/>
                <w:szCs w:val="18"/>
              </w:rPr>
              <w:t xml:space="preserve"/>
            </w:r>
          </w:p>
        </w:tc>
      </w:tr>
    </w:tbl>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CECEC" w:val="clear"/>
            <w:tcMar>
              <w:top w:type="dxa" w:w="120"/>
              <w:left w:type="dxa" w:w="150"/>
              <w:bottom w:type="dxa" w:w="120"/>
              <w:right w:type="dxa" w:w="150"/>
            </w:tcMar>
          </w:tcPr>
          <w:p>
            <w:r>
              <w:rPr>
                <w:b/>
                <w:bCs/>
                <w:color w:val="8A1C1C"/>
                <w:sz w:val="20"/>
                <w:szCs w:val="20"/>
              </w:rPr>
              <w:t xml:space="preserve">⚠ PENDING / FLAGGED FOR CLIENT CONFIRMATION: </w:t>
            </w:r>
            <w:r>
              <w:rPr>
                <w:color w:val="8A1C1C"/>
                <w:sz w:val="20"/>
                <w:szCs w:val="20"/>
              </w:rPr>
              <w:t xml:space="preserve">This document is Revision 1.0 and is not final. Section 6 (Chain-Link / Infinity Motif) must be completed against the four client reference images, and Section 11.4's physical print must be approved, before this design proceeds to metal casting.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4"/>
        <w:szCs w:val="14"/>
      </w:rPr>
      <w:t xml:space="preserve">Chaos Incorporated — Starlink One — Technical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eastAsia="Microsoft YaHei" w:hAnsi="Calibri"/>
    </w:rPr>
  </w:style>
  <w:style w:type="paragraph" w:styleId="Heading2">
    <w:name w:val="Heading 2"/>
    <w:basedOn w:val="Normal"/>
    <w:next w:val="Normal"/>
    <w:qFormat/>
    <w:rPr>
      <w:rFonts w:ascii="Calibri" w:eastAsia="Microsoft YaHei" w:hAnsi="Calibri"/>
    </w:rPr>
  </w:style>
  <w:style w:type="paragraph" w:styleId="Heading3">
    <w:name w:val="Heading 3"/>
    <w:basedOn w:val="Normal"/>
    <w:next w:val="Normal"/>
    <w:qFormat/>
    <w:rPr>
      <w:rFonts w:ascii="Calibri" w:eastAsia="Microsoft YaHe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2026-07-14T16:52:14.781Z</dcterms:created>
  <dcterms:modified xsi:type="dcterms:W3CDTF">2026-07-14T16:52:14.786Z</dcterms:modified>
</cp:coreProperties>
</file>

<file path=docProps/custom.xml><?xml version="1.0" encoding="utf-8"?>
<Properties xmlns="http://schemas.openxmlformats.org/officeDocument/2006/custom-properties" xmlns:vt="http://schemas.openxmlformats.org/officeDocument/2006/docPropsVTypes"/>
</file>