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0A1E4A"/>
          </w:tcPr>
          <w:p/>
          <w:p>
            <w:pPr>
              <w:spacing w:before="40" w:after="40"/>
              <w:jc w:val="center"/>
            </w:pPr>
            <w:r>
              <w:rPr>
                <w:rFonts w:ascii="Calibri Light" w:hAnsi="Calibri Light"/>
                <w:b w:val="0"/>
                <w:i w:val="0"/>
                <w:color w:val="FFFFFF"/>
                <w:sz w:val="12"/>
              </w:rPr>
            </w:r>
          </w:p>
          <w:p>
            <w:pPr>
              <w:spacing w:before="40" w:after="40"/>
              <w:jc w:val="center"/>
            </w:pPr>
            <w:r>
              <w:rPr>
                <w:rFonts w:ascii="Calibri Light" w:hAnsi="Calibri Light"/>
                <w:b/>
                <w:i w:val="0"/>
                <w:color w:val="C9A84C"/>
                <w:sz w:val="56"/>
              </w:rPr>
              <w:t>GÉNIE CONSULTANT</w:t>
            </w:r>
          </w:p>
          <w:p>
            <w:pPr>
              <w:spacing w:before="40" w:after="40"/>
              <w:jc w:val="center"/>
            </w:pPr>
            <w:r>
              <w:rPr>
                <w:rFonts w:ascii="Calibri Light" w:hAnsi="Calibri Light"/>
                <w:b w:val="0"/>
                <w:i w:val="0"/>
                <w:color w:val="FFFFFF"/>
                <w:sz w:val="32"/>
              </w:rPr>
              <w:t>Système d'Information Intégré</w:t>
            </w:r>
          </w:p>
          <w:p>
            <w:pPr>
              <w:spacing w:before="40" w:after="40"/>
              <w:jc w:val="center"/>
            </w:pPr>
            <w:r>
              <w:rPr>
                <w:rFonts w:ascii="Calibri Light" w:hAnsi="Calibri Light"/>
                <w:b w:val="0"/>
                <w:i w:val="0"/>
                <w:color w:val="FFFFFF"/>
                <w:sz w:val="8"/>
              </w:rPr>
            </w:r>
          </w:p>
          <w:p>
            <w:pPr>
              <w:spacing w:before="40" w:after="40"/>
              <w:jc w:val="center"/>
            </w:pPr>
            <w:r>
              <w:rPr>
                <w:rFonts w:ascii="Calibri Light" w:hAnsi="Calibri Light"/>
                <w:b w:val="0"/>
                <w:i w:val="0"/>
                <w:color w:val="94A3B8"/>
                <w:sz w:val="24"/>
              </w:rPr>
              <w:t>Document de Présentation</w:t>
            </w:r>
          </w:p>
          <w:p>
            <w:pPr>
              <w:spacing w:before="40" w:after="40"/>
              <w:jc w:val="center"/>
            </w:pPr>
            <w:r>
              <w:rPr>
                <w:rFonts w:ascii="Calibri Light" w:hAnsi="Calibri Light"/>
                <w:b w:val="0"/>
                <w:i w:val="0"/>
                <w:color w:val="FFFFFF"/>
                <w:sz w:val="12"/>
              </w:rPr>
            </w:r>
          </w:p>
          <w:p>
            <w:pPr>
              <w:spacing w:before="40" w:after="80"/>
              <w:jc w:val="center"/>
            </w:pPr>
            <w:r>
              <w:rPr>
                <w:rFonts w:ascii="Calibri" w:hAnsi="Calibri"/>
                <w:b w:val="0"/>
                <w:i w:val="0"/>
                <w:color w:val="C9A84C"/>
                <w:sz w:val="20"/>
              </w:rPr>
              <w:t>━━━━━━━━━━━━━━━━━━━━━━━━━━━━━━━━━━━━━━━━</w:t>
            </w:r>
          </w:p>
        </w:tc>
      </w:tr>
    </w:tbl>
    <w:p/>
    <w:p>
      <w:pPr>
        <w:spacing w:before="80" w:after="40"/>
        <w:jc w:val="center"/>
      </w:pPr>
      <w:r>
        <w:rPr>
          <w:rFonts w:ascii="Calibri" w:hAnsi="Calibri"/>
          <w:b w:val="0"/>
          <w:i/>
          <w:color w:val="64748B"/>
          <w:sz w:val="18"/>
        </w:rPr>
        <w:t>Solution de gestion intégrée — Usage exclusivement interne et confidentiel</w:t>
      </w:r>
    </w:p>
    <w:p>
      <w:pPr>
        <w:spacing w:before="0" w:after="240"/>
        <w:jc w:val="center"/>
      </w:pPr>
      <w:r>
        <w:rPr>
          <w:rFonts w:ascii="Calibri" w:hAnsi="Calibri"/>
          <w:b w:val="0"/>
          <w:i w:val="0"/>
          <w:color w:val="64748B"/>
          <w:sz w:val="18"/>
        </w:rPr>
        <w:t>Juin 2026  ·  Libreville, République Gabonaise</w:t>
      </w:r>
    </w:p>
    <w:p>
      <w:r>
        <w:br w:type="page"/>
      </w:r>
    </w:p>
    <w:p>
      <w:pPr>
        <w:spacing w:before="280" w:after="80"/>
      </w:pPr>
      <w:r>
        <w:rPr>
          <w:rFonts w:ascii="Calibri Light" w:hAnsi="Calibri Light"/>
          <w:b/>
          <w:i w:val="0"/>
          <w:color w:val="0A1E4A"/>
          <w:sz w:val="40"/>
        </w:rPr>
        <w:t>1. Présentation Générale</w:t>
      </w:r>
    </w:p>
    <w:p>
      <w:pPr>
        <w:spacing w:before="0" w:after="160"/>
      </w:pPr>
      <w:r>
        <w:rPr>
          <w:rFonts w:ascii="Calibri" w:hAnsi="Calibri"/>
          <w:b w:val="0"/>
          <w:i w:val="0"/>
          <w:color w:val="C9A84C"/>
          <w:sz w:val="18"/>
        </w:rPr>
        <w:t>────────────────────────────────────────────────────────────</w:t>
      </w:r>
    </w:p>
    <w:p>
      <w:pPr>
        <w:spacing w:before="0" w:after="80" w:line="280" w:lineRule="exact"/>
      </w:pPr>
      <w:r>
        <w:rPr>
          <w:rFonts w:ascii="Calibri" w:hAnsi="Calibri"/>
          <w:b w:val="0"/>
          <w:i w:val="0"/>
          <w:color w:val="1E293B"/>
          <w:sz w:val="21"/>
        </w:rPr>
        <w:t>Le Système d'Information (SI) de Génie Consultant est une plateforme numérique intégrée, développée sur mesure pour répondre aux exigences opérationnelles, organisationnelles et réglementaires d'un cabinet de conseil d'envergure. Il centralise l'ensemble des fonctions métier au sein d'un environnement unique, sécurisé et accessible sur le réseau interne de l'entreprise.</w:t>
      </w:r>
    </w:p>
    <w:p>
      <w:pPr>
        <w:spacing w:before="0" w:after="80" w:line="280" w:lineRule="exact"/>
      </w:pPr>
      <w:r>
        <w:rPr>
          <w:rFonts w:ascii="Calibri" w:hAnsi="Calibri"/>
          <w:b w:val="0"/>
          <w:i w:val="0"/>
          <w:color w:val="1E293B"/>
          <w:sz w:val="21"/>
        </w:rPr>
        <w:t>Conçu pour accompagner la croissance du cabinet, le SI offre une vision transversale de l'activité, favorise la collaboration entre équipes et garantit la traçabilité intégrale des actions et documents.</w:t>
      </w:r>
    </w:p>
    <w:p>
      <w:pPr>
        <w:spacing w:before="200" w:after="80"/>
      </w:pPr>
      <w:r>
        <w:rPr>
          <w:rFonts w:ascii="Calibri Light" w:hAnsi="Calibri Light"/>
          <w:b/>
          <w:i w:val="0"/>
          <w:color w:val="0A1E4A"/>
          <w:sz w:val="28"/>
        </w:rPr>
        <w:t>Ambition du Système</w:t>
      </w:r>
    </w:p>
    <w:p>
      <w:pPr>
        <w:pStyle w:val="ListBullet"/>
        <w:spacing w:before="20" w:after="20" w:line="260" w:lineRule="exact"/>
      </w:pPr>
      <w:r>
        <w:rPr>
          <w:rFonts w:ascii="Calibri" w:hAnsi="Calibri"/>
          <w:b w:val="0"/>
          <w:i w:val="0"/>
          <w:color w:val="1E293B"/>
          <w:sz w:val="20"/>
        </w:rPr>
        <w:t>Centraliser l'information et supprimer les silos entre départements</w:t>
      </w:r>
    </w:p>
    <w:p>
      <w:pPr>
        <w:pStyle w:val="ListBullet"/>
        <w:spacing w:before="20" w:after="20" w:line="260" w:lineRule="exact"/>
      </w:pPr>
      <w:r>
        <w:rPr>
          <w:rFonts w:ascii="Calibri" w:hAnsi="Calibri"/>
          <w:b w:val="0"/>
          <w:i w:val="0"/>
          <w:color w:val="1E293B"/>
          <w:sz w:val="20"/>
        </w:rPr>
        <w:t>Garantir la sécurité et la confidentialité des données sensibles</w:t>
      </w:r>
    </w:p>
    <w:p>
      <w:pPr>
        <w:pStyle w:val="ListBullet"/>
        <w:spacing w:before="20" w:after="20" w:line="260" w:lineRule="exact"/>
      </w:pPr>
      <w:r>
        <w:rPr>
          <w:rFonts w:ascii="Calibri" w:hAnsi="Calibri"/>
          <w:b w:val="0"/>
          <w:i w:val="0"/>
          <w:color w:val="1E293B"/>
          <w:sz w:val="20"/>
        </w:rPr>
        <w:t>Offrir une expérience de travail fluide, moderne et cohérente</w:t>
      </w:r>
    </w:p>
    <w:p>
      <w:pPr>
        <w:pStyle w:val="ListBullet"/>
        <w:spacing w:before="20" w:after="20" w:line="260" w:lineRule="exact"/>
      </w:pPr>
      <w:r>
        <w:rPr>
          <w:rFonts w:ascii="Calibri" w:hAnsi="Calibri"/>
          <w:b w:val="0"/>
          <w:i w:val="0"/>
          <w:color w:val="1E293B"/>
          <w:sz w:val="20"/>
        </w:rPr>
        <w:t>Assurer la conformité aux exigences légales et réglementaires gabonaises et OHADA</w:t>
      </w:r>
    </w:p>
    <w:p>
      <w:pPr>
        <w:pStyle w:val="ListBullet"/>
        <w:spacing w:before="20" w:after="20" w:line="260" w:lineRule="exact"/>
      </w:pPr>
      <w:r>
        <w:rPr>
          <w:rFonts w:ascii="Calibri" w:hAnsi="Calibri"/>
          <w:b w:val="0"/>
          <w:i w:val="0"/>
          <w:color w:val="1E293B"/>
          <w:sz w:val="20"/>
        </w:rPr>
        <w:t>Permettre une prise de décision éclairée par des indicateurs en temps réel</w:t>
      </w:r>
    </w:p>
    <w:p/>
    <w:p>
      <w:pPr>
        <w:spacing w:before="280" w:after="80"/>
      </w:pPr>
      <w:r>
        <w:rPr>
          <w:rFonts w:ascii="Calibri Light" w:hAnsi="Calibri Light"/>
          <w:b/>
          <w:i w:val="0"/>
          <w:color w:val="0A1E4A"/>
          <w:sz w:val="40"/>
        </w:rPr>
        <w:t>2. Périmètre Fonctionnel</w:t>
      </w:r>
    </w:p>
    <w:p>
      <w:pPr>
        <w:spacing w:before="0" w:after="160"/>
      </w:pPr>
      <w:r>
        <w:rPr>
          <w:rFonts w:ascii="Calibri" w:hAnsi="Calibri"/>
          <w:b w:val="0"/>
          <w:i w:val="0"/>
          <w:color w:val="C9A84C"/>
          <w:sz w:val="18"/>
        </w:rPr>
        <w:t>────────────────────────────────────────────────────────────</w:t>
      </w:r>
    </w:p>
    <w:p>
      <w:pPr>
        <w:spacing w:before="0" w:after="80" w:line="280" w:lineRule="exact"/>
      </w:pPr>
      <w:r>
        <w:rPr>
          <w:rFonts w:ascii="Calibri" w:hAnsi="Calibri"/>
          <w:b w:val="0"/>
          <w:i w:val="0"/>
          <w:color w:val="1E293B"/>
          <w:sz w:val="21"/>
        </w:rPr>
        <w:t>Le SI couvre l'intégralité du spectre fonctionnel du cabinet, structuré autour de quatre grandes familles d'applications :</w:t>
      </w:r>
    </w:p>
    <w:p/>
    <w:p>
      <w:pPr>
        <w:spacing w:before="200" w:after="80"/>
      </w:pPr>
      <w:r>
        <w:rPr>
          <w:rFonts w:ascii="Calibri Light" w:hAnsi="Calibri Light"/>
          <w:b/>
          <w:i w:val="0"/>
          <w:color w:val="0A1E4A"/>
          <w:sz w:val="28"/>
        </w:rPr>
        <w:t>2.1  Pilotage &amp; Gouvernance</w:t>
      </w:r>
    </w:p>
    <w:p>
      <w:pPr>
        <w:spacing w:before="0" w:after="80" w:line="280" w:lineRule="exact"/>
      </w:pPr>
      <w:r>
        <w:rPr>
          <w:rFonts w:ascii="Calibri" w:hAnsi="Calibri"/>
          <w:b w:val="0"/>
          <w:i w:val="0"/>
          <w:color w:val="1E293B"/>
          <w:sz w:val="21"/>
        </w:rPr>
        <w:t>Les outils de pilotage offrent aux dirigeants et responsables une vision 360° de l'activité du cabinet, en temps réel.</w:t>
      </w:r>
    </w:p>
    <w:p>
      <w:pPr>
        <w:pStyle w:val="ListBullet"/>
        <w:spacing w:before="20" w:after="20" w:line="260" w:lineRule="exact"/>
      </w:pPr>
      <w:r>
        <w:rPr>
          <w:rFonts w:ascii="Calibri" w:hAnsi="Calibri"/>
          <w:b w:val="0"/>
          <w:i w:val="0"/>
          <w:color w:val="1E293B"/>
          <w:sz w:val="20"/>
        </w:rPr>
        <w:t>Tableau de bord exécutif avec indicateurs clés de performance (KPIs)</w:t>
      </w:r>
    </w:p>
    <w:p>
      <w:pPr>
        <w:pStyle w:val="ListBullet"/>
        <w:spacing w:before="20" w:after="20" w:line="260" w:lineRule="exact"/>
      </w:pPr>
      <w:r>
        <w:rPr>
          <w:rFonts w:ascii="Calibri" w:hAnsi="Calibri"/>
          <w:b w:val="0"/>
          <w:i w:val="0"/>
          <w:color w:val="1E293B"/>
          <w:sz w:val="20"/>
        </w:rPr>
        <w:t>Cartographie interactive des processus organisationnels</w:t>
      </w:r>
    </w:p>
    <w:p>
      <w:pPr>
        <w:pStyle w:val="ListBullet"/>
        <w:spacing w:before="20" w:after="20" w:line="260" w:lineRule="exact"/>
      </w:pPr>
      <w:r>
        <w:rPr>
          <w:rFonts w:ascii="Calibri" w:hAnsi="Calibri"/>
          <w:b w:val="0"/>
          <w:i w:val="0"/>
          <w:color w:val="1E293B"/>
          <w:sz w:val="20"/>
        </w:rPr>
        <w:t>Module de conseil et stratégie : SWOT, matrices, plans d'action</w:t>
      </w:r>
    </w:p>
    <w:p>
      <w:pPr>
        <w:pStyle w:val="ListBullet"/>
        <w:spacing w:before="20" w:after="20" w:line="260" w:lineRule="exact"/>
      </w:pPr>
      <w:r>
        <w:rPr>
          <w:rFonts w:ascii="Calibri" w:hAnsi="Calibri"/>
          <w:b w:val="0"/>
          <w:i w:val="0"/>
          <w:color w:val="1E293B"/>
          <w:sz w:val="20"/>
        </w:rPr>
        <w:t>Suivi des engagements, recommandations et avancements</w:t>
      </w:r>
    </w:p>
    <w:p>
      <w:pPr>
        <w:pStyle w:val="ListBullet"/>
        <w:spacing w:before="20" w:after="20" w:line="260" w:lineRule="exact"/>
      </w:pPr>
      <w:r>
        <w:rPr>
          <w:rFonts w:ascii="Calibri" w:hAnsi="Calibri"/>
          <w:b w:val="0"/>
          <w:i w:val="0"/>
          <w:color w:val="1E293B"/>
          <w:sz w:val="20"/>
        </w:rPr>
        <w:t>Gestion de la conformité réglementaire et des obligations légales</w:t>
      </w:r>
    </w:p>
    <w:p>
      <w:pPr>
        <w:pStyle w:val="ListBullet"/>
        <w:spacing w:before="20" w:after="20" w:line="260" w:lineRule="exact"/>
      </w:pPr>
      <w:r>
        <w:rPr>
          <w:rFonts w:ascii="Calibri" w:hAnsi="Calibri"/>
          <w:b w:val="0"/>
          <w:i w:val="0"/>
          <w:color w:val="1E293B"/>
          <w:sz w:val="20"/>
        </w:rPr>
        <w:t>Audit interne : matrices de risques, checklists, rapports d'audit</w:t>
      </w:r>
    </w:p>
    <w:p/>
    <w:p>
      <w:pPr>
        <w:spacing w:before="200" w:after="80"/>
      </w:pPr>
      <w:r>
        <w:rPr>
          <w:rFonts w:ascii="Calibri Light" w:hAnsi="Calibri Light"/>
          <w:b/>
          <w:i w:val="0"/>
          <w:color w:val="0A1E4A"/>
          <w:sz w:val="28"/>
        </w:rPr>
        <w:t>2.2  Gestion Opérationnelle</w:t>
      </w:r>
    </w:p>
    <w:p>
      <w:pPr>
        <w:spacing w:before="0" w:after="80" w:line="280" w:lineRule="exact"/>
      </w:pPr>
      <w:r>
        <w:rPr>
          <w:rFonts w:ascii="Calibri" w:hAnsi="Calibri"/>
          <w:b w:val="0"/>
          <w:i w:val="0"/>
          <w:color w:val="1E293B"/>
          <w:sz w:val="21"/>
        </w:rPr>
        <w:t>L'ensemble des activités quotidiennes du cabinet est géré depuis un espace unifié, structuré par processus métier.</w:t>
      </w:r>
    </w:p>
    <w:p>
      <w:pPr>
        <w:pStyle w:val="ListBullet"/>
        <w:spacing w:before="20" w:after="20" w:line="260" w:lineRule="exact"/>
      </w:pPr>
      <w:r>
        <w:rPr>
          <w:rFonts w:ascii="Calibri" w:hAnsi="Calibri"/>
          <w:b w:val="0"/>
          <w:i w:val="0"/>
          <w:color w:val="1E293B"/>
          <w:sz w:val="20"/>
        </w:rPr>
        <w:t>Gestion centralisée des dossiers et documents clients</w:t>
      </w:r>
    </w:p>
    <w:p>
      <w:pPr>
        <w:pStyle w:val="ListBullet"/>
        <w:spacing w:before="20" w:after="20" w:line="260" w:lineRule="exact"/>
      </w:pPr>
      <w:r>
        <w:rPr>
          <w:rFonts w:ascii="Calibri" w:hAnsi="Calibri"/>
          <w:b w:val="0"/>
          <w:i w:val="0"/>
          <w:color w:val="1E293B"/>
          <w:sz w:val="20"/>
        </w:rPr>
        <w:t>Module juridique et OHADA : contrats, actes, veille réglementaire</w:t>
      </w:r>
    </w:p>
    <w:p>
      <w:pPr>
        <w:pStyle w:val="ListBullet"/>
        <w:spacing w:before="20" w:after="20" w:line="260" w:lineRule="exact"/>
      </w:pPr>
      <w:r>
        <w:rPr>
          <w:rFonts w:ascii="Calibri" w:hAnsi="Calibri"/>
          <w:b w:val="0"/>
          <w:i w:val="0"/>
          <w:color w:val="1E293B"/>
          <w:sz w:val="20"/>
        </w:rPr>
        <w:t>Système de gestion des tâches, assignations et alertes</w:t>
      </w:r>
    </w:p>
    <w:p>
      <w:pPr>
        <w:pStyle w:val="ListBullet"/>
        <w:spacing w:before="20" w:after="20" w:line="260" w:lineRule="exact"/>
      </w:pPr>
      <w:r>
        <w:rPr>
          <w:rFonts w:ascii="Calibri" w:hAnsi="Calibri"/>
          <w:b w:val="0"/>
          <w:i w:val="0"/>
          <w:color w:val="1E293B"/>
          <w:sz w:val="20"/>
        </w:rPr>
        <w:t>Agenda partagé, planification des rendez-vous et réunions</w:t>
      </w:r>
    </w:p>
    <w:p>
      <w:pPr>
        <w:pStyle w:val="ListBullet"/>
        <w:spacing w:before="20" w:after="20" w:line="260" w:lineRule="exact"/>
      </w:pPr>
      <w:r>
        <w:rPr>
          <w:rFonts w:ascii="Calibri" w:hAnsi="Calibri"/>
          <w:b w:val="0"/>
          <w:i w:val="0"/>
          <w:color w:val="1E293B"/>
          <w:sz w:val="20"/>
        </w:rPr>
        <w:t>Messagerie interne unifiée avec gestion du courrier</w:t>
      </w:r>
    </w:p>
    <w:p>
      <w:pPr>
        <w:pStyle w:val="ListBullet"/>
        <w:spacing w:before="20" w:after="20" w:line="260" w:lineRule="exact"/>
      </w:pPr>
      <w:r>
        <w:rPr>
          <w:rFonts w:ascii="Calibri" w:hAnsi="Calibri"/>
          <w:b w:val="0"/>
          <w:i w:val="0"/>
          <w:color w:val="1E293B"/>
          <w:sz w:val="20"/>
        </w:rPr>
        <w:t>Rapports d'activité périodiques et archivage documentaire</w:t>
      </w:r>
    </w:p>
    <w:p/>
    <w:p>
      <w:pPr>
        <w:spacing w:before="200" w:after="80"/>
      </w:pPr>
      <w:r>
        <w:rPr>
          <w:rFonts w:ascii="Calibri Light" w:hAnsi="Calibri Light"/>
          <w:b/>
          <w:i w:val="0"/>
          <w:color w:val="0A1E4A"/>
          <w:sz w:val="28"/>
        </w:rPr>
        <w:t>2.3  Support &amp; Ressources</w:t>
      </w:r>
    </w:p>
    <w:p>
      <w:pPr>
        <w:spacing w:before="0" w:after="80" w:line="280" w:lineRule="exact"/>
      </w:pPr>
      <w:r>
        <w:rPr>
          <w:rFonts w:ascii="Calibri" w:hAnsi="Calibri"/>
          <w:b w:val="0"/>
          <w:i w:val="0"/>
          <w:color w:val="1E293B"/>
          <w:sz w:val="21"/>
        </w:rPr>
        <w:t>Les fonctions support garantissent le bon fonctionnement organisationnel et matériel du cabinet.</w:t>
      </w:r>
    </w:p>
    <w:p>
      <w:pPr>
        <w:pStyle w:val="ListBullet"/>
        <w:spacing w:before="20" w:after="20" w:line="260" w:lineRule="exact"/>
      </w:pPr>
      <w:r>
        <w:rPr>
          <w:rFonts w:ascii="Calibri" w:hAnsi="Calibri"/>
          <w:b w:val="0"/>
          <w:i w:val="0"/>
          <w:color w:val="1E293B"/>
          <w:sz w:val="20"/>
        </w:rPr>
        <w:t>Finance &amp; Comptabilité : budgets, facturation, devis, OHADA, bilan</w:t>
      </w:r>
    </w:p>
    <w:p>
      <w:pPr>
        <w:pStyle w:val="ListBullet"/>
        <w:spacing w:before="20" w:after="20" w:line="260" w:lineRule="exact"/>
      </w:pPr>
      <w:r>
        <w:rPr>
          <w:rFonts w:ascii="Calibri" w:hAnsi="Calibri"/>
          <w:b w:val="0"/>
          <w:i w:val="0"/>
          <w:color w:val="1E293B"/>
          <w:sz w:val="20"/>
        </w:rPr>
        <w:t>Ressources Humaines (SIRH) : présences, congés, recrutement, paie, évaluations</w:t>
      </w:r>
    </w:p>
    <w:p>
      <w:pPr>
        <w:pStyle w:val="ListBullet"/>
        <w:spacing w:before="20" w:after="20" w:line="260" w:lineRule="exact"/>
      </w:pPr>
      <w:r>
        <w:rPr>
          <w:rFonts w:ascii="Calibri" w:hAnsi="Calibri"/>
          <w:b w:val="0"/>
          <w:i w:val="0"/>
          <w:color w:val="1E293B"/>
          <w:sz w:val="20"/>
        </w:rPr>
        <w:t>Logistique &amp; Moyens généraux : achats, stocks, équipements, maintenance</w:t>
      </w:r>
    </w:p>
    <w:p>
      <w:pPr>
        <w:pStyle w:val="ListBullet"/>
        <w:spacing w:before="20" w:after="20" w:line="260" w:lineRule="exact"/>
      </w:pPr>
      <w:r>
        <w:rPr>
          <w:rFonts w:ascii="Calibri" w:hAnsi="Calibri"/>
          <w:b w:val="0"/>
          <w:i w:val="0"/>
          <w:color w:val="1E293B"/>
          <w:sz w:val="20"/>
        </w:rPr>
        <w:t>Communication &amp; Marketing : campagnes, plans de communication, contenus</w:t>
      </w:r>
    </w:p>
    <w:p/>
    <w:p>
      <w:pPr>
        <w:spacing w:before="200" w:after="80"/>
      </w:pPr>
      <w:r>
        <w:rPr>
          <w:rFonts w:ascii="Calibri Light" w:hAnsi="Calibri Light"/>
          <w:b/>
          <w:i w:val="0"/>
          <w:color w:val="0A1E4A"/>
          <w:sz w:val="28"/>
        </w:rPr>
        <w:t>2.4  Bureau Numérique Personnel</w:t>
      </w:r>
    </w:p>
    <w:p>
      <w:pPr>
        <w:spacing w:before="0" w:after="80" w:line="280" w:lineRule="exact"/>
      </w:pPr>
      <w:r>
        <w:rPr>
          <w:rFonts w:ascii="Calibri" w:hAnsi="Calibri"/>
          <w:b w:val="0"/>
          <w:i w:val="0"/>
          <w:color w:val="1E293B"/>
          <w:sz w:val="21"/>
        </w:rPr>
        <w:t>Chaque collaborateur dispose d'une suite d'outils bureautiques personnels, entièrement intégrée à l'environnement du SI.</w:t>
      </w:r>
    </w:p>
    <w:p>
      <w:pPr>
        <w:pStyle w:val="ListBullet"/>
        <w:spacing w:before="20" w:after="20" w:line="260" w:lineRule="exact"/>
      </w:pPr>
      <w:r>
        <w:rPr>
          <w:rFonts w:ascii="Calibri" w:hAnsi="Calibri"/>
          <w:b w:val="0"/>
          <w:i w:val="0"/>
          <w:color w:val="1E293B"/>
          <w:sz w:val="20"/>
        </w:rPr>
        <w:t>Traitement de texte professionnel avec export PDF et impression</w:t>
      </w:r>
    </w:p>
    <w:p>
      <w:pPr>
        <w:pStyle w:val="ListBullet"/>
        <w:spacing w:before="20" w:after="20" w:line="260" w:lineRule="exact"/>
      </w:pPr>
      <w:r>
        <w:rPr>
          <w:rFonts w:ascii="Calibri" w:hAnsi="Calibri"/>
          <w:b w:val="0"/>
          <w:i w:val="0"/>
          <w:color w:val="1E293B"/>
          <w:sz w:val="20"/>
        </w:rPr>
        <w:t>Tableur avancé avec formules, graphiques et tableaux croisés</w:t>
      </w:r>
    </w:p>
    <w:p>
      <w:pPr>
        <w:pStyle w:val="ListBullet"/>
        <w:spacing w:before="20" w:after="20" w:line="260" w:lineRule="exact"/>
      </w:pPr>
      <w:r>
        <w:rPr>
          <w:rFonts w:ascii="Calibri" w:hAnsi="Calibri"/>
          <w:b w:val="0"/>
          <w:i w:val="0"/>
          <w:color w:val="1E293B"/>
          <w:sz w:val="20"/>
        </w:rPr>
        <w:t>Outil de présentation et diaporamas avec thèmes institutionnels</w:t>
      </w:r>
    </w:p>
    <w:p>
      <w:pPr>
        <w:pStyle w:val="ListBullet"/>
        <w:spacing w:before="20" w:after="20" w:line="260" w:lineRule="exact"/>
      </w:pPr>
      <w:r>
        <w:rPr>
          <w:rFonts w:ascii="Calibri" w:hAnsi="Calibri"/>
          <w:b w:val="0"/>
          <w:i w:val="0"/>
          <w:color w:val="1E293B"/>
          <w:sz w:val="20"/>
        </w:rPr>
        <w:t>Gestion budgétaire personnelle simplifiée</w:t>
      </w:r>
    </w:p>
    <w:p>
      <w:pPr>
        <w:spacing w:before="0" w:after="80" w:line="280" w:lineRule="exact"/>
      </w:pPr>
      <w:r>
        <w:rPr>
          <w:rFonts w:ascii="Calibri" w:hAnsi="Calibri"/>
          <w:b w:val="0"/>
          <w:i/>
          <w:color w:val="64748B"/>
          <w:sz w:val="21"/>
        </w:rPr>
        <w:t>Ces espaces sont strictement personnels : les données y sont isolées par utilisateur et ne sont jamais partagées entre collaborateurs.</w:t>
      </w:r>
    </w:p>
    <w:p/>
    <w:p>
      <w:pPr>
        <w:spacing w:before="280" w:after="80"/>
      </w:pPr>
      <w:r>
        <w:rPr>
          <w:rFonts w:ascii="Calibri Light" w:hAnsi="Calibri Light"/>
          <w:b/>
          <w:i w:val="0"/>
          <w:color w:val="0A1E4A"/>
          <w:sz w:val="40"/>
        </w:rPr>
        <w:t>3. Organisation des Accès</w:t>
      </w:r>
    </w:p>
    <w:p>
      <w:pPr>
        <w:spacing w:before="0" w:after="160"/>
      </w:pPr>
      <w:r>
        <w:rPr>
          <w:rFonts w:ascii="Calibri" w:hAnsi="Calibri"/>
          <w:b w:val="0"/>
          <w:i w:val="0"/>
          <w:color w:val="C9A84C"/>
          <w:sz w:val="18"/>
        </w:rPr>
        <w:t>────────────────────────────────────────────────────────────</w:t>
      </w:r>
    </w:p>
    <w:p>
      <w:pPr>
        <w:spacing w:before="0" w:after="80" w:line="280" w:lineRule="exact"/>
      </w:pPr>
      <w:r>
        <w:rPr>
          <w:rFonts w:ascii="Calibri" w:hAnsi="Calibri"/>
          <w:b w:val="0"/>
          <w:i w:val="0"/>
          <w:color w:val="1E293B"/>
          <w:sz w:val="21"/>
        </w:rPr>
        <w:t>L'accès aux différentes applications du SI est rigoureusement encadré par un système de gestion des droits à plusieurs niveaux, garantissant que chaque collaborateur n'accède qu'aux informations et fonctions relevant de son périmètre professionnel.</w:t>
      </w:r>
    </w:p>
    <w:p>
      <w:pPr>
        <w:spacing w:before="200" w:after="80"/>
      </w:pPr>
      <w:r>
        <w:rPr>
          <w:rFonts w:ascii="Calibri Light" w:hAnsi="Calibri Light"/>
          <w:b/>
          <w:i w:val="0"/>
          <w:color w:val="0A1E4A"/>
          <w:sz w:val="28"/>
        </w:rPr>
        <w:t>Niveaux de responsabilité</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0A1E4A"/>
          </w:tcPr>
          <w:p>
            <w:pPr>
              <w:spacing w:before="60" w:after="60"/>
            </w:pPr>
            <w:r>
              <w:rPr>
                <w:rFonts w:ascii="Calibri" w:hAnsi="Calibri"/>
                <w:b/>
                <w:i w:val="0"/>
                <w:color w:val="FFFFFF"/>
                <w:sz w:val="19"/>
              </w:rPr>
              <w:t>Niveau</w:t>
            </w:r>
          </w:p>
        </w:tc>
        <w:tc>
          <w:tcPr>
            <w:tcW w:type="dxa" w:w="2551"/>
            <w:shd w:val="clear" w:color="auto" w:fill="0A1E4A"/>
          </w:tcPr>
          <w:p>
            <w:pPr>
              <w:spacing w:before="60" w:after="60"/>
            </w:pPr>
            <w:r>
              <w:rPr>
                <w:rFonts w:ascii="Calibri" w:hAnsi="Calibri"/>
                <w:b/>
                <w:i w:val="0"/>
                <w:color w:val="FFFFFF"/>
                <w:sz w:val="19"/>
              </w:rPr>
              <w:t>Profil</w:t>
            </w:r>
          </w:p>
        </w:tc>
        <w:tc>
          <w:tcPr>
            <w:tcW w:type="dxa" w:w="5102"/>
            <w:shd w:val="clear" w:color="auto" w:fill="0A1E4A"/>
          </w:tcPr>
          <w:p>
            <w:pPr>
              <w:spacing w:before="60" w:after="60"/>
            </w:pPr>
            <w:r>
              <w:rPr>
                <w:rFonts w:ascii="Calibri" w:hAnsi="Calibri"/>
                <w:b/>
                <w:i w:val="0"/>
                <w:color w:val="FFFFFF"/>
                <w:sz w:val="19"/>
              </w:rPr>
              <w:t>Périmètre d'accès</w:t>
            </w:r>
          </w:p>
        </w:tc>
      </w:tr>
      <w:tr>
        <w:tc>
          <w:tcPr>
            <w:tcW w:type="dxa" w:w="1701"/>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Direction</w:t>
            </w:r>
          </w:p>
        </w:tc>
        <w:tc>
          <w:tcPr>
            <w:tcW w:type="dxa" w:w="2551"/>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Direction Générale</w:t>
            </w:r>
          </w:p>
        </w:tc>
        <w:tc>
          <w:tcPr>
            <w:tcW w:type="dxa" w:w="5102"/>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Vision globale, validation finale, accès à toutes les applications</w:t>
            </w:r>
          </w:p>
        </w:tc>
      </w:tr>
      <w:tr>
        <w:tc>
          <w:tcPr>
            <w:tcW w:type="dxa" w:w="1701"/>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Responsable</w:t>
            </w:r>
          </w:p>
        </w:tc>
        <w:tc>
          <w:tcPr>
            <w:tcW w:type="dxa" w:w="2551"/>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Chef de département / Processus</w:t>
            </w:r>
          </w:p>
        </w:tc>
        <w:tc>
          <w:tcPr>
            <w:tcW w:type="dxa" w:w="5102"/>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Toutes les apps du processus + supervision équipe</w:t>
            </w:r>
          </w:p>
        </w:tc>
      </w:tr>
      <w:tr>
        <w:tc>
          <w:tcPr>
            <w:tcW w:type="dxa" w:w="1701"/>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Senior</w:t>
            </w:r>
          </w:p>
        </w:tc>
        <w:tc>
          <w:tcPr>
            <w:tcW w:type="dxa" w:w="2551"/>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Collaborateur senior</w:t>
            </w:r>
          </w:p>
        </w:tc>
        <w:tc>
          <w:tcPr>
            <w:tcW w:type="dxa" w:w="5102"/>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Applications de son processus + création et gestion dossiers</w:t>
            </w:r>
          </w:p>
        </w:tc>
      </w:tr>
      <w:tr>
        <w:tc>
          <w:tcPr>
            <w:tcW w:type="dxa" w:w="1701"/>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Collaborateur</w:t>
            </w:r>
          </w:p>
        </w:tc>
        <w:tc>
          <w:tcPr>
            <w:tcW w:type="dxa" w:w="2551"/>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Collaborateur</w:t>
            </w:r>
          </w:p>
        </w:tc>
        <w:tc>
          <w:tcPr>
            <w:tcW w:type="dxa" w:w="5102"/>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Applications restreintes à son processus métier</w:t>
            </w:r>
          </w:p>
        </w:tc>
      </w:tr>
      <w:tr>
        <w:tc>
          <w:tcPr>
            <w:tcW w:type="dxa" w:w="1701"/>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Employé</w:t>
            </w:r>
          </w:p>
        </w:tc>
        <w:tc>
          <w:tcPr>
            <w:tcW w:type="dxa" w:w="2551"/>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Employé / Stagiaire</w:t>
            </w:r>
          </w:p>
        </w:tc>
        <w:tc>
          <w:tcPr>
            <w:tcW w:type="dxa" w:w="5102"/>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Consultation uniquement, tâches assignées</w:t>
            </w:r>
          </w:p>
        </w:tc>
      </w:tr>
      <w:tr>
        <w:tc>
          <w:tcPr>
            <w:tcW w:type="dxa" w:w="1701"/>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Admin SI</w:t>
            </w:r>
          </w:p>
        </w:tc>
        <w:tc>
          <w:tcPr>
            <w:tcW w:type="dxa" w:w="2551"/>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Administrateur système</w:t>
            </w:r>
          </w:p>
        </w:tc>
        <w:tc>
          <w:tcPr>
            <w:tcW w:type="dxa" w:w="5102"/>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Infrastructure, comptes, configuration globale</w:t>
            </w:r>
          </w:p>
        </w:tc>
      </w:tr>
    </w:tbl>
    <w:p/>
    <w:p>
      <w:pPr>
        <w:spacing w:before="200" w:after="80"/>
      </w:pPr>
      <w:r>
        <w:rPr>
          <w:rFonts w:ascii="Calibri Light" w:hAnsi="Calibri Light"/>
          <w:b/>
          <w:i w:val="0"/>
          <w:color w:val="0A1E4A"/>
          <w:sz w:val="28"/>
        </w:rPr>
        <w:t>Processus et périmètres fonctionnels</w:t>
      </w:r>
    </w:p>
    <w:p>
      <w:pPr>
        <w:spacing w:before="0" w:after="80" w:line="280" w:lineRule="exact"/>
      </w:pPr>
      <w:r>
        <w:rPr>
          <w:rFonts w:ascii="Calibri" w:hAnsi="Calibri"/>
          <w:b w:val="0"/>
          <w:i w:val="0"/>
          <w:color w:val="1E293B"/>
          <w:sz w:val="21"/>
        </w:rPr>
        <w:t>L'organisation du SI reflète la structure des processus du cabinet. Chaque processus donne accès à un ensemble défini d'applications métier :</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0A1E4A"/>
          </w:tcPr>
          <w:p>
            <w:pPr>
              <w:spacing w:before="60" w:after="60"/>
            </w:pPr>
            <w:r>
              <w:rPr>
                <w:rFonts w:ascii="Calibri" w:hAnsi="Calibri"/>
                <w:b/>
                <w:i w:val="0"/>
                <w:color w:val="FFFFFF"/>
                <w:sz w:val="19"/>
              </w:rPr>
              <w:t>Processus</w:t>
            </w:r>
          </w:p>
        </w:tc>
        <w:tc>
          <w:tcPr>
            <w:tcW w:type="dxa" w:w="2268"/>
            <w:shd w:val="clear" w:color="auto" w:fill="0A1E4A"/>
          </w:tcPr>
          <w:p>
            <w:pPr>
              <w:spacing w:before="60" w:after="60"/>
            </w:pPr>
            <w:r>
              <w:rPr>
                <w:rFonts w:ascii="Calibri" w:hAnsi="Calibri"/>
                <w:b/>
                <w:i w:val="0"/>
                <w:color w:val="FFFFFF"/>
                <w:sz w:val="19"/>
              </w:rPr>
              <w:t>Domaine</w:t>
            </w:r>
          </w:p>
        </w:tc>
        <w:tc>
          <w:tcPr>
            <w:tcW w:type="dxa" w:w="4819"/>
            <w:shd w:val="clear" w:color="auto" w:fill="0A1E4A"/>
          </w:tcPr>
          <w:p>
            <w:pPr>
              <w:spacing w:before="60" w:after="60"/>
            </w:pPr>
            <w:r>
              <w:rPr>
                <w:rFonts w:ascii="Calibri" w:hAnsi="Calibri"/>
                <w:b/>
                <w:i w:val="0"/>
                <w:color w:val="FFFFFF"/>
                <w:sz w:val="19"/>
              </w:rPr>
              <w:t>Applications accessibles</w:t>
            </w:r>
          </w:p>
        </w:tc>
      </w:tr>
      <w:tr>
        <w:tc>
          <w:tcPr>
            <w:tcW w:type="dxa" w:w="1984"/>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P01 — Management</w:t>
            </w:r>
          </w:p>
        </w:tc>
        <w:tc>
          <w:tcPr>
            <w:tcW w:type="dxa" w:w="2268"/>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Direction &amp; pilotage global</w:t>
            </w:r>
          </w:p>
        </w:tc>
        <w:tc>
          <w:tcPr>
            <w:tcW w:type="dxa" w:w="4819"/>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Toutes les applications</w:t>
            </w:r>
          </w:p>
        </w:tc>
      </w:tr>
      <w:tr>
        <w:tc>
          <w:tcPr>
            <w:tcW w:type="dxa" w:w="1984"/>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P02 — Gouvernance</w:t>
            </w:r>
          </w:p>
        </w:tc>
        <w:tc>
          <w:tcPr>
            <w:tcW w:type="dxa" w:w="2268"/>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Conformité &amp; réglementation</w:t>
            </w:r>
          </w:p>
        </w:tc>
        <w:tc>
          <w:tcPr>
            <w:tcW w:type="dxa" w:w="4819"/>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Audit, Conformité, Conseil, Indicateurs</w:t>
            </w:r>
          </w:p>
        </w:tc>
      </w:tr>
      <w:tr>
        <w:tc>
          <w:tcPr>
            <w:tcW w:type="dxa" w:w="1984"/>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P03 — Contrôle de Gestion</w:t>
            </w:r>
          </w:p>
        </w:tc>
        <w:tc>
          <w:tcPr>
            <w:tcW w:type="dxa" w:w="2268"/>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Finance &amp; performance</w:t>
            </w:r>
          </w:p>
        </w:tc>
        <w:tc>
          <w:tcPr>
            <w:tcW w:type="dxa" w:w="4819"/>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Finance, Logistique, Conseil, Indicateurs</w:t>
            </w:r>
          </w:p>
        </w:tc>
      </w:tr>
      <w:tr>
        <w:tc>
          <w:tcPr>
            <w:tcW w:type="dxa" w:w="1984"/>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P04 — Veille Stratégique</w:t>
            </w:r>
          </w:p>
        </w:tc>
        <w:tc>
          <w:tcPr>
            <w:tcW w:type="dxa" w:w="2268"/>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Intelligence &amp; marketing</w:t>
            </w:r>
          </w:p>
        </w:tc>
        <w:tc>
          <w:tcPr>
            <w:tcW w:type="dxa" w:w="4819"/>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Communication, Conseil, Gest. Docs</w:t>
            </w:r>
          </w:p>
        </w:tc>
      </w:tr>
      <w:tr>
        <w:tc>
          <w:tcPr>
            <w:tcW w:type="dxa" w:w="1984"/>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O01 — Administratif</w:t>
            </w:r>
          </w:p>
        </w:tc>
        <w:tc>
          <w:tcPr>
            <w:tcW w:type="dxa" w:w="2268"/>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Gestion administrative</w:t>
            </w:r>
          </w:p>
        </w:tc>
        <w:tc>
          <w:tcPr>
            <w:tcW w:type="dxa" w:w="4819"/>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Gestion Docs, Indicateurs, Conventions</w:t>
            </w:r>
          </w:p>
        </w:tc>
      </w:tr>
      <w:tr>
        <w:tc>
          <w:tcPr>
            <w:tcW w:type="dxa" w:w="1984"/>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O02 — Juridique</w:t>
            </w:r>
          </w:p>
        </w:tc>
        <w:tc>
          <w:tcPr>
            <w:tcW w:type="dxa" w:w="2268"/>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Droit &amp; conformité</w:t>
            </w:r>
          </w:p>
        </w:tc>
        <w:tc>
          <w:tcPr>
            <w:tcW w:type="dxa" w:w="4819"/>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Juridique, Gestion Docs, Indicateurs</w:t>
            </w:r>
          </w:p>
        </w:tc>
      </w:tr>
      <w:tr>
        <w:tc>
          <w:tcPr>
            <w:tcW w:type="dxa" w:w="1984"/>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O03 — Gestion Entreprise</w:t>
            </w:r>
          </w:p>
        </w:tc>
        <w:tc>
          <w:tcPr>
            <w:tcW w:type="dxa" w:w="2268"/>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Évaluation &amp; contrôle</w:t>
            </w:r>
          </w:p>
        </w:tc>
        <w:tc>
          <w:tcPr>
            <w:tcW w:type="dxa" w:w="4819"/>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Audit, Indicateurs</w:t>
            </w:r>
          </w:p>
        </w:tc>
      </w:tr>
      <w:tr>
        <w:tc>
          <w:tcPr>
            <w:tcW w:type="dxa" w:w="1984"/>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S01 — Finance</w:t>
            </w:r>
          </w:p>
        </w:tc>
        <w:tc>
          <w:tcPr>
            <w:tcW w:type="dxa" w:w="2268"/>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Comptabilité &amp; budgets</w:t>
            </w:r>
          </w:p>
        </w:tc>
        <w:tc>
          <w:tcPr>
            <w:tcW w:type="dxa" w:w="4819"/>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Finance, Logistique, Indicateurs</w:t>
            </w:r>
          </w:p>
        </w:tc>
      </w:tr>
      <w:tr>
        <w:tc>
          <w:tcPr>
            <w:tcW w:type="dxa" w:w="1984"/>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S02 — Audit Interne</w:t>
            </w:r>
          </w:p>
        </w:tc>
        <w:tc>
          <w:tcPr>
            <w:tcW w:type="dxa" w:w="2268"/>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Contrôle &amp; vérification</w:t>
            </w:r>
          </w:p>
        </w:tc>
        <w:tc>
          <w:tcPr>
            <w:tcW w:type="dxa" w:w="4819"/>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Audit, Conformité, Indicateurs</w:t>
            </w:r>
          </w:p>
        </w:tc>
      </w:tr>
      <w:tr>
        <w:tc>
          <w:tcPr>
            <w:tcW w:type="dxa" w:w="1984"/>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S03 — Ressources Humaines</w:t>
            </w:r>
          </w:p>
        </w:tc>
        <w:tc>
          <w:tcPr>
            <w:tcW w:type="dxa" w:w="2268"/>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Gestion du personnel</w:t>
            </w:r>
          </w:p>
        </w:tc>
        <w:tc>
          <w:tcPr>
            <w:tcW w:type="dxa" w:w="4819"/>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SIRH, Indicateurs, Conventions</w:t>
            </w:r>
          </w:p>
        </w:tc>
      </w:tr>
      <w:tr>
        <w:tc>
          <w:tcPr>
            <w:tcW w:type="dxa" w:w="1984"/>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S04 — Communication</w:t>
            </w:r>
          </w:p>
        </w:tc>
        <w:tc>
          <w:tcPr>
            <w:tcW w:type="dxa" w:w="2268"/>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Marketing &amp; communication</w:t>
            </w:r>
          </w:p>
        </w:tc>
        <w:tc>
          <w:tcPr>
            <w:tcW w:type="dxa" w:w="4819"/>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Communication, Indicateurs</w:t>
            </w:r>
          </w:p>
        </w:tc>
      </w:tr>
      <w:tr>
        <w:tc>
          <w:tcPr>
            <w:tcW w:type="dxa" w:w="1984"/>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S05 — Logistique</w:t>
            </w:r>
          </w:p>
        </w:tc>
        <w:tc>
          <w:tcPr>
            <w:tcW w:type="dxa" w:w="2268"/>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Moyens &amp; approvisionnement</w:t>
            </w:r>
          </w:p>
        </w:tc>
        <w:tc>
          <w:tcPr>
            <w:tcW w:type="dxa" w:w="4819"/>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Logistique, Indicateurs</w:t>
            </w:r>
          </w:p>
        </w:tc>
      </w:tr>
      <w:tr>
        <w:tc>
          <w:tcPr>
            <w:tcW w:type="dxa" w:w="1984"/>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S06 — Sécurité</w:t>
            </w:r>
          </w:p>
        </w:tc>
        <w:tc>
          <w:tcPr>
            <w:tcW w:type="dxa" w:w="2268"/>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Entretien &amp; sécurité</w:t>
            </w:r>
          </w:p>
        </w:tc>
        <w:tc>
          <w:tcPr>
            <w:tcW w:type="dxa" w:w="4819"/>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Indicateurs uniquement</w:t>
            </w:r>
          </w:p>
        </w:tc>
      </w:tr>
    </w:tbl>
    <w:p/>
    <w:p>
      <w:pPr>
        <w:spacing w:before="0" w:after="80" w:line="280" w:lineRule="exact"/>
      </w:pPr>
      <w:r>
        <w:rPr>
          <w:rFonts w:ascii="Calibri" w:hAnsi="Calibri"/>
          <w:b w:val="0"/>
          <w:i/>
          <w:color w:val="64748B"/>
          <w:sz w:val="21"/>
        </w:rPr>
        <w:t>Des habilitations individuelles et codes d'accès provisoires permettent d'octroyer temporairement l'accès à des applications spécifiques, sous validation de l'administration.</w:t>
      </w:r>
    </w:p>
    <w:p/>
    <w:p>
      <w:pPr>
        <w:spacing w:before="280" w:after="80"/>
      </w:pPr>
      <w:r>
        <w:rPr>
          <w:rFonts w:ascii="Calibri Light" w:hAnsi="Calibri Light"/>
          <w:b/>
          <w:i w:val="0"/>
          <w:color w:val="0A1E4A"/>
          <w:sz w:val="40"/>
        </w:rPr>
        <w:t>4. Sécurité &amp; Confidentialité</w:t>
      </w:r>
    </w:p>
    <w:p>
      <w:pPr>
        <w:spacing w:before="0" w:after="160"/>
      </w:pPr>
      <w:r>
        <w:rPr>
          <w:rFonts w:ascii="Calibri" w:hAnsi="Calibri"/>
          <w:b w:val="0"/>
          <w:i w:val="0"/>
          <w:color w:val="C9A84C"/>
          <w:sz w:val="18"/>
        </w:rPr>
        <w:t>────────────────────────────────────────────────────────────</w:t>
      </w:r>
    </w:p>
    <w:p>
      <w:pPr>
        <w:spacing w:before="0" w:after="80" w:line="280" w:lineRule="exact"/>
      </w:pPr>
      <w:r>
        <w:rPr>
          <w:rFonts w:ascii="Calibri" w:hAnsi="Calibri"/>
          <w:b w:val="0"/>
          <w:i w:val="0"/>
          <w:color w:val="1E293B"/>
          <w:sz w:val="21"/>
        </w:rPr>
        <w:t>La protection des données est au cœur de la conception du SI. Un ensemble de mesures techniques et organisationnelles garantit la confidentialité, l'intégrité et la disponibilité des informations du cabinet.</w:t>
      </w:r>
    </w:p>
    <w:p>
      <w:pPr>
        <w:spacing w:before="200" w:after="80"/>
      </w:pPr>
      <w:r>
        <w:rPr>
          <w:rFonts w:ascii="Calibri Light" w:hAnsi="Calibri Light"/>
          <w:b/>
          <w:i w:val="0"/>
          <w:color w:val="0A1E4A"/>
          <w:sz w:val="28"/>
        </w:rPr>
        <w:t>Authentification &amp; Identité</w:t>
      </w:r>
    </w:p>
    <w:p>
      <w:pPr>
        <w:pStyle w:val="ListBullet"/>
        <w:spacing w:before="20" w:after="20" w:line="260" w:lineRule="exact"/>
      </w:pPr>
      <w:r>
        <w:rPr>
          <w:rFonts w:ascii="Calibri" w:hAnsi="Calibri"/>
          <w:b w:val="0"/>
          <w:i w:val="0"/>
          <w:color w:val="1E293B"/>
          <w:sz w:val="20"/>
        </w:rPr>
        <w:t>Connexion sécurisée par identifiant et mot de passe chiffré</w:t>
      </w:r>
    </w:p>
    <w:p>
      <w:pPr>
        <w:pStyle w:val="ListBullet"/>
        <w:spacing w:before="20" w:after="20" w:line="260" w:lineRule="exact"/>
      </w:pPr>
      <w:r>
        <w:rPr>
          <w:rFonts w:ascii="Calibri" w:hAnsi="Calibri"/>
          <w:b w:val="0"/>
          <w:i w:val="0"/>
          <w:color w:val="1E293B"/>
          <w:sz w:val="20"/>
        </w:rPr>
        <w:t>Authentification à deux facteurs (2FA) disponible par profil</w:t>
      </w:r>
    </w:p>
    <w:p>
      <w:pPr>
        <w:pStyle w:val="ListBullet"/>
        <w:spacing w:before="20" w:after="20" w:line="260" w:lineRule="exact"/>
      </w:pPr>
      <w:r>
        <w:rPr>
          <w:rFonts w:ascii="Calibri" w:hAnsi="Calibri"/>
          <w:b w:val="0"/>
          <w:i w:val="0"/>
          <w:color w:val="1E293B"/>
          <w:sz w:val="20"/>
        </w:rPr>
        <w:t>Sessions à durée limitée avec renouvellement automatique sécurisé</w:t>
      </w:r>
    </w:p>
    <w:p>
      <w:pPr>
        <w:pStyle w:val="ListBullet"/>
        <w:spacing w:before="20" w:after="20" w:line="260" w:lineRule="exact"/>
      </w:pPr>
      <w:r>
        <w:rPr>
          <w:rFonts w:ascii="Calibri" w:hAnsi="Calibri"/>
          <w:b w:val="0"/>
          <w:i w:val="0"/>
          <w:color w:val="1E293B"/>
          <w:sz w:val="20"/>
        </w:rPr>
        <w:t>Déconnexion automatique après inactivité</w:t>
      </w:r>
    </w:p>
    <w:p>
      <w:pPr>
        <w:spacing w:before="200" w:after="80"/>
      </w:pPr>
      <w:r>
        <w:rPr>
          <w:rFonts w:ascii="Calibri Light" w:hAnsi="Calibri Light"/>
          <w:b/>
          <w:i w:val="0"/>
          <w:color w:val="0A1E4A"/>
          <w:sz w:val="28"/>
        </w:rPr>
        <w:t>Contrôle des accès</w:t>
      </w:r>
    </w:p>
    <w:p>
      <w:pPr>
        <w:pStyle w:val="ListBullet"/>
        <w:spacing w:before="20" w:after="20" w:line="260" w:lineRule="exact"/>
      </w:pPr>
      <w:r>
        <w:rPr>
          <w:rFonts w:ascii="Calibri" w:hAnsi="Calibri"/>
          <w:b w:val="0"/>
          <w:i w:val="0"/>
          <w:color w:val="1E293B"/>
          <w:sz w:val="20"/>
        </w:rPr>
        <w:t>Chaque application est protégée par une vérification de processus en temps réel</w:t>
      </w:r>
    </w:p>
    <w:p>
      <w:pPr>
        <w:pStyle w:val="ListBullet"/>
        <w:spacing w:before="20" w:after="20" w:line="260" w:lineRule="exact"/>
      </w:pPr>
      <w:r>
        <w:rPr>
          <w:rFonts w:ascii="Calibri" w:hAnsi="Calibri"/>
          <w:b w:val="0"/>
          <w:i w:val="0"/>
          <w:color w:val="1E293B"/>
          <w:sz w:val="20"/>
        </w:rPr>
        <w:t>Certaines applications sensibles (Finance, SIRH) sont à accès totalement restreint : aucun contournement possible</w:t>
      </w:r>
    </w:p>
    <w:p>
      <w:pPr>
        <w:pStyle w:val="ListBullet"/>
        <w:spacing w:before="20" w:after="20" w:line="260" w:lineRule="exact"/>
      </w:pPr>
      <w:r>
        <w:rPr>
          <w:rFonts w:ascii="Calibri" w:hAnsi="Calibri"/>
          <w:b w:val="0"/>
          <w:i w:val="0"/>
          <w:color w:val="1E293B"/>
          <w:sz w:val="20"/>
        </w:rPr>
        <w:t>Chaque action est enregistrée dans un journal d'audit immuable</w:t>
      </w:r>
    </w:p>
    <w:p>
      <w:pPr>
        <w:pStyle w:val="ListBullet"/>
        <w:spacing w:before="20" w:after="20" w:line="260" w:lineRule="exact"/>
      </w:pPr>
      <w:r>
        <w:rPr>
          <w:rFonts w:ascii="Calibri" w:hAnsi="Calibri"/>
          <w:b w:val="0"/>
          <w:i w:val="0"/>
          <w:color w:val="1E293B"/>
          <w:sz w:val="20"/>
        </w:rPr>
        <w:t>Les fichiers et documents sont soumis aux mêmes règles d'accès que les applications</w:t>
      </w:r>
    </w:p>
    <w:p>
      <w:pPr>
        <w:spacing w:before="200" w:after="80"/>
      </w:pPr>
      <w:r>
        <w:rPr>
          <w:rFonts w:ascii="Calibri Light" w:hAnsi="Calibri Light"/>
          <w:b/>
          <w:i w:val="0"/>
          <w:color w:val="0A1E4A"/>
          <w:sz w:val="28"/>
        </w:rPr>
        <w:t>Intégrité des données</w:t>
      </w:r>
    </w:p>
    <w:p>
      <w:pPr>
        <w:pStyle w:val="ListBullet"/>
        <w:spacing w:before="20" w:after="20" w:line="260" w:lineRule="exact"/>
      </w:pPr>
      <w:r>
        <w:rPr>
          <w:rFonts w:ascii="Calibri" w:hAnsi="Calibri"/>
          <w:b w:val="0"/>
          <w:i w:val="0"/>
          <w:color w:val="1E293B"/>
          <w:sz w:val="20"/>
        </w:rPr>
        <w:t>Sauvegardes automatiques régulières de l'intégralité des données</w:t>
      </w:r>
    </w:p>
    <w:p>
      <w:pPr>
        <w:pStyle w:val="ListBullet"/>
        <w:spacing w:before="20" w:after="20" w:line="260" w:lineRule="exact"/>
      </w:pPr>
      <w:r>
        <w:rPr>
          <w:rFonts w:ascii="Calibri" w:hAnsi="Calibri"/>
          <w:b w:val="0"/>
          <w:i w:val="0"/>
          <w:color w:val="1E293B"/>
          <w:sz w:val="20"/>
        </w:rPr>
        <w:t>Base de données en mode journalisé pour prévenir toute corruption</w:t>
      </w:r>
    </w:p>
    <w:p>
      <w:pPr>
        <w:pStyle w:val="ListBullet"/>
        <w:spacing w:before="20" w:after="20" w:line="260" w:lineRule="exact"/>
      </w:pPr>
      <w:r>
        <w:rPr>
          <w:rFonts w:ascii="Calibri" w:hAnsi="Calibri"/>
          <w:b w:val="0"/>
          <w:i w:val="0"/>
          <w:color w:val="1E293B"/>
          <w:sz w:val="20"/>
        </w:rPr>
        <w:t>Traçabilité complète des modifications (qui, quoi, quand)</w:t>
      </w:r>
    </w:p>
    <w:p>
      <w:pPr>
        <w:pStyle w:val="ListBullet"/>
        <w:spacing w:before="20" w:after="20" w:line="260" w:lineRule="exact"/>
      </w:pPr>
      <w:r>
        <w:rPr>
          <w:rFonts w:ascii="Calibri" w:hAnsi="Calibri"/>
          <w:b w:val="0"/>
          <w:i w:val="0"/>
          <w:color w:val="1E293B"/>
          <w:sz w:val="20"/>
        </w:rPr>
        <w:t>Archivage sécurisé des documents avec historique de versions</w:t>
      </w:r>
    </w:p>
    <w:p/>
    <w:p>
      <w:pPr>
        <w:spacing w:before="280" w:after="80"/>
      </w:pPr>
      <w:r>
        <w:rPr>
          <w:rFonts w:ascii="Calibri Light" w:hAnsi="Calibri Light"/>
          <w:b/>
          <w:i w:val="0"/>
          <w:color w:val="0A1E4A"/>
          <w:sz w:val="40"/>
        </w:rPr>
        <w:t>5. Collaboration en Temps Réel</w:t>
      </w:r>
    </w:p>
    <w:p>
      <w:pPr>
        <w:spacing w:before="0" w:after="160"/>
      </w:pPr>
      <w:r>
        <w:rPr>
          <w:rFonts w:ascii="Calibri" w:hAnsi="Calibri"/>
          <w:b w:val="0"/>
          <w:i w:val="0"/>
          <w:color w:val="C9A84C"/>
          <w:sz w:val="18"/>
        </w:rPr>
        <w:t>────────────────────────────────────────────────────────────</w:t>
      </w:r>
    </w:p>
    <w:p>
      <w:pPr>
        <w:spacing w:before="0" w:after="80" w:line="280" w:lineRule="exact"/>
      </w:pPr>
      <w:r>
        <w:rPr>
          <w:rFonts w:ascii="Calibri" w:hAnsi="Calibri"/>
          <w:b w:val="0"/>
          <w:i w:val="0"/>
          <w:color w:val="1E293B"/>
          <w:sz w:val="21"/>
        </w:rPr>
        <w:t>L'une des caractéristiques majeures du SI est sa capacité à synchroniser instantanément les informations entre tous les postes de travail connectés au réseau interne.</w:t>
      </w:r>
    </w:p>
    <w:p>
      <w:pPr>
        <w:pStyle w:val="ListBullet"/>
        <w:spacing w:before="20" w:after="20" w:line="260" w:lineRule="exact"/>
      </w:pPr>
      <w:r>
        <w:rPr>
          <w:rFonts w:ascii="Calibri" w:hAnsi="Calibri"/>
          <w:b w:val="0"/>
          <w:i w:val="0"/>
          <w:color w:val="1E293B"/>
          <w:sz w:val="20"/>
        </w:rPr>
        <w:t>Toute modification effectuée par un collaborateur est immédiatement visible par tous les utilisateurs autorisés</w:t>
      </w:r>
    </w:p>
    <w:p>
      <w:pPr>
        <w:pStyle w:val="ListBullet"/>
        <w:spacing w:before="20" w:after="20" w:line="260" w:lineRule="exact"/>
      </w:pPr>
      <w:r>
        <w:rPr>
          <w:rFonts w:ascii="Calibri" w:hAnsi="Calibri"/>
          <w:b w:val="0"/>
          <w:i w:val="0"/>
          <w:color w:val="1E293B"/>
          <w:sz w:val="20"/>
        </w:rPr>
        <w:t>Les notifications en temps réel alertent les équipes des événements importants (nouveau dossier, tâche assignée, message reçu)</w:t>
      </w:r>
    </w:p>
    <w:p>
      <w:pPr>
        <w:pStyle w:val="ListBullet"/>
        <w:spacing w:before="20" w:after="20" w:line="260" w:lineRule="exact"/>
      </w:pPr>
      <w:r>
        <w:rPr>
          <w:rFonts w:ascii="Calibri" w:hAnsi="Calibri"/>
          <w:b w:val="0"/>
          <w:i w:val="0"/>
          <w:color w:val="1E293B"/>
          <w:sz w:val="20"/>
        </w:rPr>
        <w:t>L'agenda, la messagerie, les tâches et tous les modules métier fonctionnent en mode collaboratif</w:t>
      </w:r>
    </w:p>
    <w:p>
      <w:pPr>
        <w:pStyle w:val="ListBullet"/>
        <w:spacing w:before="20" w:after="20" w:line="260" w:lineRule="exact"/>
      </w:pPr>
      <w:r>
        <w:rPr>
          <w:rFonts w:ascii="Calibri" w:hAnsi="Calibri"/>
          <w:b w:val="0"/>
          <w:i w:val="0"/>
          <w:color w:val="1E293B"/>
          <w:sz w:val="20"/>
        </w:rPr>
        <w:t>En cas de perte temporaire de connexion, les actions sont mises en attente et synchronisées dès la reconnexion</w:t>
      </w:r>
    </w:p>
    <w:p>
      <w:pPr>
        <w:spacing w:before="0" w:after="80" w:line="280" w:lineRule="exact"/>
      </w:pPr>
      <w:r>
        <w:rPr>
          <w:rFonts w:ascii="Calibri" w:hAnsi="Calibri"/>
          <w:b w:val="0"/>
          <w:i/>
          <w:color w:val="64748B"/>
          <w:sz w:val="21"/>
        </w:rPr>
        <w:t>Cette synchronisation instantanée élimine les risques de double saisie et garantit que chaque collaborateur travaille toujours avec les informations les plus récentes.</w:t>
      </w:r>
    </w:p>
    <w:p/>
    <w:p>
      <w:pPr>
        <w:spacing w:before="280" w:after="80"/>
      </w:pPr>
      <w:r>
        <w:rPr>
          <w:rFonts w:ascii="Calibri Light" w:hAnsi="Calibri Light"/>
          <w:b/>
          <w:i w:val="0"/>
          <w:color w:val="0A1E4A"/>
          <w:sz w:val="40"/>
        </w:rPr>
        <w:t>6. Interface &amp; Expérience Utilisateur</w:t>
      </w:r>
    </w:p>
    <w:p>
      <w:pPr>
        <w:spacing w:before="0" w:after="160"/>
      </w:pPr>
      <w:r>
        <w:rPr>
          <w:rFonts w:ascii="Calibri" w:hAnsi="Calibri"/>
          <w:b w:val="0"/>
          <w:i w:val="0"/>
          <w:color w:val="C9A84C"/>
          <w:sz w:val="18"/>
        </w:rPr>
        <w:t>────────────────────────────────────────────────────────────</w:t>
      </w:r>
    </w:p>
    <w:p>
      <w:pPr>
        <w:spacing w:before="0" w:after="80" w:line="280" w:lineRule="exact"/>
      </w:pPr>
      <w:r>
        <w:rPr>
          <w:rFonts w:ascii="Calibri" w:hAnsi="Calibri"/>
          <w:b w:val="0"/>
          <w:i w:val="0"/>
          <w:color w:val="1E293B"/>
          <w:sz w:val="21"/>
        </w:rPr>
        <w:t>L'interface du SI a été conçue pour offrir une expérience professionnelle, intuitive et cohérente à l'ensemble des collaborateurs, quel que soit leur niveau de maîtrise des outils numériques.</w:t>
      </w:r>
    </w:p>
    <w:p>
      <w:pPr>
        <w:spacing w:before="200" w:after="80"/>
      </w:pPr>
      <w:r>
        <w:rPr>
          <w:rFonts w:ascii="Calibri Light" w:hAnsi="Calibri Light"/>
          <w:b/>
          <w:i w:val="0"/>
          <w:color w:val="0A1E4A"/>
          <w:sz w:val="28"/>
        </w:rPr>
        <w:t>Ergonomie générale</w:t>
      </w:r>
    </w:p>
    <w:p>
      <w:pPr>
        <w:pStyle w:val="ListBullet"/>
        <w:spacing w:before="20" w:after="20" w:line="260" w:lineRule="exact"/>
      </w:pPr>
      <w:r>
        <w:rPr>
          <w:rFonts w:ascii="Calibri" w:hAnsi="Calibri"/>
          <w:b w:val="0"/>
          <w:i w:val="0"/>
          <w:color w:val="1E293B"/>
          <w:sz w:val="20"/>
        </w:rPr>
        <w:t>Navigation structurée en sidebar avec accès rapide aux modules autorisés</w:t>
      </w:r>
    </w:p>
    <w:p>
      <w:pPr>
        <w:pStyle w:val="ListBullet"/>
        <w:spacing w:before="20" w:after="20" w:line="260" w:lineRule="exact"/>
      </w:pPr>
      <w:r>
        <w:rPr>
          <w:rFonts w:ascii="Calibri" w:hAnsi="Calibri"/>
          <w:b w:val="0"/>
          <w:i w:val="0"/>
          <w:color w:val="1E293B"/>
          <w:sz w:val="20"/>
        </w:rPr>
        <w:t>Tableau de bord personnalisé selon le profil et le processus de l'utilisateur</w:t>
      </w:r>
    </w:p>
    <w:p>
      <w:pPr>
        <w:pStyle w:val="ListBullet"/>
        <w:spacing w:before="20" w:after="20" w:line="260" w:lineRule="exact"/>
      </w:pPr>
      <w:r>
        <w:rPr>
          <w:rFonts w:ascii="Calibri" w:hAnsi="Calibri"/>
          <w:b w:val="0"/>
          <w:i w:val="0"/>
          <w:color w:val="1E293B"/>
          <w:sz w:val="20"/>
        </w:rPr>
        <w:t>Interface unifiée : même logique de navigation dans tous les modules</w:t>
      </w:r>
    </w:p>
    <w:p>
      <w:pPr>
        <w:pStyle w:val="ListBullet"/>
        <w:spacing w:before="20" w:after="20" w:line="260" w:lineRule="exact"/>
      </w:pPr>
      <w:r>
        <w:rPr>
          <w:rFonts w:ascii="Calibri" w:hAnsi="Calibri"/>
          <w:b w:val="0"/>
          <w:i w:val="0"/>
          <w:color w:val="1E293B"/>
          <w:sz w:val="20"/>
        </w:rPr>
        <w:t>Thème sombre professionnel aux couleurs institutionnelles de Génie Consultant</w:t>
      </w:r>
    </w:p>
    <w:p>
      <w:pPr>
        <w:pStyle w:val="ListBullet"/>
        <w:spacing w:before="20" w:after="20" w:line="260" w:lineRule="exact"/>
      </w:pPr>
      <w:r>
        <w:rPr>
          <w:rFonts w:ascii="Calibri" w:hAnsi="Calibri"/>
          <w:b w:val="0"/>
          <w:i w:val="0"/>
          <w:color w:val="1E293B"/>
          <w:sz w:val="20"/>
        </w:rPr>
        <w:t>Disponible sur tous les postes du réseau interne, sans installation</w:t>
      </w:r>
    </w:p>
    <w:p>
      <w:pPr>
        <w:spacing w:before="200" w:after="80"/>
      </w:pPr>
      <w:r>
        <w:rPr>
          <w:rFonts w:ascii="Calibri Light" w:hAnsi="Calibri Light"/>
          <w:b/>
          <w:i w:val="0"/>
          <w:color w:val="0A1E4A"/>
          <w:sz w:val="28"/>
        </w:rPr>
        <w:t>Productivité</w:t>
      </w:r>
    </w:p>
    <w:p>
      <w:pPr>
        <w:pStyle w:val="ListBullet"/>
        <w:spacing w:before="20" w:after="20" w:line="260" w:lineRule="exact"/>
      </w:pPr>
      <w:r>
        <w:rPr>
          <w:rFonts w:ascii="Calibri" w:hAnsi="Calibri"/>
          <w:b w:val="0"/>
          <w:i w:val="0"/>
          <w:color w:val="1E293B"/>
          <w:sz w:val="20"/>
        </w:rPr>
        <w:t>Widget d'outils rapides (calculatrice, prise de notes, convertisseur) accessible en permanence</w:t>
      </w:r>
    </w:p>
    <w:p>
      <w:pPr>
        <w:pStyle w:val="ListBullet"/>
        <w:spacing w:before="20" w:after="20" w:line="260" w:lineRule="exact"/>
      </w:pPr>
      <w:r>
        <w:rPr>
          <w:rFonts w:ascii="Calibri" w:hAnsi="Calibri"/>
          <w:b w:val="0"/>
          <w:i w:val="0"/>
          <w:color w:val="1E293B"/>
          <w:sz w:val="20"/>
        </w:rPr>
        <w:t>Assistant numérique intégré pour accompagner les tâches complexes</w:t>
      </w:r>
    </w:p>
    <w:p>
      <w:pPr>
        <w:pStyle w:val="ListBullet"/>
        <w:spacing w:before="20" w:after="20" w:line="260" w:lineRule="exact"/>
      </w:pPr>
      <w:r>
        <w:rPr>
          <w:rFonts w:ascii="Calibri" w:hAnsi="Calibri"/>
          <w:b w:val="0"/>
          <w:i w:val="0"/>
          <w:color w:val="1E293B"/>
          <w:sz w:val="20"/>
        </w:rPr>
        <w:t>Impression directe et export de documents depuis chaque module</w:t>
      </w:r>
    </w:p>
    <w:p>
      <w:pPr>
        <w:pStyle w:val="ListBullet"/>
        <w:spacing w:before="20" w:after="20" w:line="260" w:lineRule="exact"/>
      </w:pPr>
      <w:r>
        <w:rPr>
          <w:rFonts w:ascii="Calibri" w:hAnsi="Calibri"/>
          <w:b w:val="0"/>
          <w:i w:val="0"/>
          <w:color w:val="1E293B"/>
          <w:sz w:val="20"/>
        </w:rPr>
        <w:t>Recherche globale et filtrage avancé dans tous les espaces documentaires</w:t>
      </w:r>
    </w:p>
    <w:p>
      <w:pPr>
        <w:pStyle w:val="ListBullet"/>
        <w:spacing w:before="20" w:after="20" w:line="260" w:lineRule="exact"/>
      </w:pPr>
      <w:r>
        <w:rPr>
          <w:rFonts w:ascii="Calibri" w:hAnsi="Calibri"/>
          <w:b w:val="0"/>
          <w:i w:val="0"/>
          <w:color w:val="1E293B"/>
          <w:sz w:val="20"/>
        </w:rPr>
        <w:t>Génération automatique de codes de référence et de numérotation documentaire</w:t>
      </w:r>
    </w:p>
    <w:p>
      <w:pPr>
        <w:spacing w:before="200" w:after="80"/>
      </w:pPr>
      <w:r>
        <w:rPr>
          <w:rFonts w:ascii="Calibri Light" w:hAnsi="Calibri Light"/>
          <w:b/>
          <w:i w:val="0"/>
          <w:color w:val="0A1E4A"/>
          <w:sz w:val="28"/>
        </w:rPr>
        <w:t>Accessibilité</w:t>
      </w:r>
    </w:p>
    <w:p>
      <w:pPr>
        <w:pStyle w:val="ListBullet"/>
        <w:spacing w:before="20" w:after="20" w:line="260" w:lineRule="exact"/>
      </w:pPr>
      <w:r>
        <w:rPr>
          <w:rFonts w:ascii="Calibri" w:hAnsi="Calibri"/>
          <w:b w:val="0"/>
          <w:i w:val="0"/>
          <w:color w:val="1E293B"/>
          <w:sz w:val="20"/>
        </w:rPr>
        <w:t>Interface entièrement accessible depuis un navigateur web standard</w:t>
      </w:r>
    </w:p>
    <w:p>
      <w:pPr>
        <w:pStyle w:val="ListBullet"/>
        <w:spacing w:before="20" w:after="20" w:line="260" w:lineRule="exact"/>
      </w:pPr>
      <w:r>
        <w:rPr>
          <w:rFonts w:ascii="Calibri" w:hAnsi="Calibri"/>
          <w:b w:val="0"/>
          <w:i w:val="0"/>
          <w:color w:val="1E293B"/>
          <w:sz w:val="20"/>
        </w:rPr>
        <w:t>Pas de logiciel à installer sur les postes clients</w:t>
      </w:r>
    </w:p>
    <w:p>
      <w:pPr>
        <w:pStyle w:val="ListBullet"/>
        <w:spacing w:before="20" w:after="20" w:line="260" w:lineRule="exact"/>
      </w:pPr>
      <w:r>
        <w:rPr>
          <w:rFonts w:ascii="Calibri" w:hAnsi="Calibri"/>
          <w:b w:val="0"/>
          <w:i w:val="0"/>
          <w:color w:val="1E293B"/>
          <w:sz w:val="20"/>
        </w:rPr>
        <w:t>Optimisé pour une utilisation quotidienne intensive sur grands écrans</w:t>
      </w:r>
    </w:p>
    <w:p>
      <w:pPr>
        <w:pStyle w:val="ListBullet"/>
        <w:spacing w:before="20" w:after="20" w:line="260" w:lineRule="exact"/>
      </w:pPr>
      <w:r>
        <w:rPr>
          <w:rFonts w:ascii="Calibri" w:hAnsi="Calibri"/>
          <w:b w:val="0"/>
          <w:i w:val="0"/>
          <w:color w:val="1E293B"/>
          <w:sz w:val="20"/>
        </w:rPr>
        <w:t>Notifications visuelles et sonores configurables par l'utilisateur</w:t>
      </w:r>
    </w:p>
    <w:p/>
    <w:p>
      <w:pPr>
        <w:spacing w:before="280" w:after="80"/>
      </w:pPr>
      <w:r>
        <w:rPr>
          <w:rFonts w:ascii="Calibri Light" w:hAnsi="Calibri Light"/>
          <w:b/>
          <w:i w:val="0"/>
          <w:color w:val="0A1E4A"/>
          <w:sz w:val="40"/>
        </w:rPr>
        <w:t>7. Description des Modules</w:t>
      </w:r>
    </w:p>
    <w:p>
      <w:pPr>
        <w:spacing w:before="0" w:after="160"/>
      </w:pPr>
      <w:r>
        <w:rPr>
          <w:rFonts w:ascii="Calibri" w:hAnsi="Calibri"/>
          <w:b w:val="0"/>
          <w:i w:val="0"/>
          <w:color w:val="C9A84C"/>
          <w:sz w:val="18"/>
        </w:rPr>
        <w:t>────────────────────────────────────────────────────────────</w:t>
      </w:r>
    </w:p>
    <w:p>
      <w:pPr>
        <w:spacing w:before="200" w:after="80"/>
      </w:pPr>
      <w:r>
        <w:rPr>
          <w:rFonts w:ascii="Calibri" w:hAnsi="Calibri"/>
          <w:b/>
          <w:i w:val="0"/>
          <w:color w:val="1E293B"/>
          <w:sz w:val="22"/>
        </w:rPr>
        <w:t>Tableau de Bord &amp; Indicateurs</w:t>
      </w:r>
    </w:p>
    <w:p>
      <w:pPr>
        <w:spacing w:before="0" w:after="80" w:line="280" w:lineRule="exact"/>
      </w:pPr>
      <w:r>
        <w:rPr>
          <w:rFonts w:ascii="Calibri" w:hAnsi="Calibri"/>
          <w:b w:val="0"/>
          <w:i w:val="0"/>
          <w:color w:val="1E293B"/>
          <w:sz w:val="21"/>
        </w:rPr>
        <w:t>Centre de pilotage du cabinet. Affiche en temps réel les KPIs essentiels, les alertes en cours, les tâches prioritaires et l'état des dossiers actifs. La cartographie des processus permet de naviguer intuitivement vers chaque module selon l'organisation du cabinet.</w:t>
      </w:r>
    </w:p>
    <w:p/>
    <w:p>
      <w:pPr>
        <w:spacing w:before="200" w:after="80"/>
      </w:pPr>
      <w:r>
        <w:rPr>
          <w:rFonts w:ascii="Calibri" w:hAnsi="Calibri"/>
          <w:b/>
          <w:i w:val="0"/>
          <w:color w:val="1E293B"/>
          <w:sz w:val="22"/>
        </w:rPr>
        <w:t>Gestion Documentaire &amp; Dossiers</w:t>
      </w:r>
    </w:p>
    <w:p>
      <w:pPr>
        <w:spacing w:before="0" w:after="80" w:line="280" w:lineRule="exact"/>
      </w:pPr>
      <w:r>
        <w:rPr>
          <w:rFonts w:ascii="Calibri" w:hAnsi="Calibri"/>
          <w:b w:val="0"/>
          <w:i w:val="0"/>
          <w:color w:val="1E293B"/>
          <w:sz w:val="21"/>
        </w:rPr>
        <w:t>Espace centralisé pour la création, l'organisation et le suivi de l'ensemble des dossiers et documents du cabinet. Chaque dossier est codifié, catégorisé et associé à un workflow de validation multi-niveaux. La recherche full-text et les filtres avancés garantissent un accès rapide à toute information.</w:t>
      </w:r>
    </w:p>
    <w:p/>
    <w:p>
      <w:pPr>
        <w:spacing w:before="200" w:after="80"/>
      </w:pPr>
      <w:r>
        <w:rPr>
          <w:rFonts w:ascii="Calibri" w:hAnsi="Calibri"/>
          <w:b/>
          <w:i w:val="0"/>
          <w:color w:val="1E293B"/>
          <w:sz w:val="22"/>
        </w:rPr>
        <w:t>Finance &amp; Comptabilité</w:t>
      </w:r>
    </w:p>
    <w:p>
      <w:pPr>
        <w:spacing w:before="0" w:after="80" w:line="280" w:lineRule="exact"/>
      </w:pPr>
      <w:r>
        <w:rPr>
          <w:rFonts w:ascii="Calibri" w:hAnsi="Calibri"/>
          <w:b w:val="0"/>
          <w:i w:val="0"/>
          <w:color w:val="1E293B"/>
          <w:sz w:val="21"/>
        </w:rPr>
        <w:t>Module complet de gestion financière : journal comptable, budgets, devis, facturation, gestion TVA et fiscalité selon le référentiel OHADA. Tableaux de bord financiers et rapports exportables. Accès strictement réservé aux profils autorisés.</w:t>
      </w:r>
    </w:p>
    <w:p/>
    <w:p>
      <w:pPr>
        <w:spacing w:before="200" w:after="80"/>
      </w:pPr>
      <w:r>
        <w:rPr>
          <w:rFonts w:ascii="Calibri" w:hAnsi="Calibri"/>
          <w:b/>
          <w:i w:val="0"/>
          <w:color w:val="1E293B"/>
          <w:sz w:val="22"/>
        </w:rPr>
        <w:t>Juridique &amp; OHADA</w:t>
      </w:r>
    </w:p>
    <w:p>
      <w:pPr>
        <w:spacing w:before="0" w:after="80" w:line="280" w:lineRule="exact"/>
      </w:pPr>
      <w:r>
        <w:rPr>
          <w:rFonts w:ascii="Calibri" w:hAnsi="Calibri"/>
          <w:b w:val="0"/>
          <w:i w:val="0"/>
          <w:color w:val="1E293B"/>
          <w:sz w:val="21"/>
        </w:rPr>
        <w:t>Espace dédié aux équipes juridiques : gestion des contrats, actes, modèles de documents juridiques et veille réglementaire. Intègre le droit des affaires gabonais et les normes OHADA.</w:t>
      </w:r>
    </w:p>
    <w:p/>
    <w:p>
      <w:pPr>
        <w:spacing w:before="200" w:after="80"/>
      </w:pPr>
      <w:r>
        <w:rPr>
          <w:rFonts w:ascii="Calibri" w:hAnsi="Calibri"/>
          <w:b/>
          <w:i w:val="0"/>
          <w:color w:val="1E293B"/>
          <w:sz w:val="22"/>
        </w:rPr>
        <w:t>SIRH — Ressources Humaines</w:t>
      </w:r>
    </w:p>
    <w:p>
      <w:pPr>
        <w:spacing w:before="0" w:after="80" w:line="280" w:lineRule="exact"/>
      </w:pPr>
      <w:r>
        <w:rPr>
          <w:rFonts w:ascii="Calibri" w:hAnsi="Calibri"/>
          <w:b w:val="0"/>
          <w:i w:val="0"/>
          <w:color w:val="1E293B"/>
          <w:sz w:val="21"/>
        </w:rPr>
        <w:t>Système d'information RH complet : registre du personnel, suivi des présences et congés, gestion des recrutements, évaluations annuelles et calcul des paies. Historique complet de chaque collaborateur.</w:t>
      </w:r>
    </w:p>
    <w:p/>
    <w:p>
      <w:pPr>
        <w:spacing w:before="200" w:after="80"/>
      </w:pPr>
      <w:r>
        <w:rPr>
          <w:rFonts w:ascii="Calibri" w:hAnsi="Calibri"/>
          <w:b/>
          <w:i w:val="0"/>
          <w:color w:val="1E293B"/>
          <w:sz w:val="22"/>
        </w:rPr>
        <w:t>Audit &amp; Contrôle</w:t>
      </w:r>
    </w:p>
    <w:p>
      <w:pPr>
        <w:spacing w:before="0" w:after="80" w:line="280" w:lineRule="exact"/>
      </w:pPr>
      <w:r>
        <w:rPr>
          <w:rFonts w:ascii="Calibri" w:hAnsi="Calibri"/>
          <w:b w:val="0"/>
          <w:i w:val="0"/>
          <w:color w:val="1E293B"/>
          <w:sz w:val="21"/>
        </w:rPr>
        <w:t>Outil de pilotage de l'audit interne : matrices de risques conformes aux référentiels ISA/COSO, checklists d'audit, gestion des constats et plans d'action corrective. Suivi des recommandations et indicateurs de maturité.</w:t>
      </w:r>
    </w:p>
    <w:p/>
    <w:p>
      <w:pPr>
        <w:spacing w:before="200" w:after="80"/>
      </w:pPr>
      <w:r>
        <w:rPr>
          <w:rFonts w:ascii="Calibri" w:hAnsi="Calibri"/>
          <w:b/>
          <w:i w:val="0"/>
          <w:color w:val="1E293B"/>
          <w:sz w:val="22"/>
        </w:rPr>
        <w:t>Conformité &amp; Réglementations</w:t>
      </w:r>
    </w:p>
    <w:p>
      <w:pPr>
        <w:spacing w:before="0" w:after="80" w:line="280" w:lineRule="exact"/>
      </w:pPr>
      <w:r>
        <w:rPr>
          <w:rFonts w:ascii="Calibri" w:hAnsi="Calibri"/>
          <w:b w:val="0"/>
          <w:i w:val="0"/>
          <w:color w:val="1E293B"/>
          <w:sz w:val="21"/>
        </w:rPr>
        <w:t>Veille et gestion de la conformité réglementaire : obligations légales, politiques internes, signalements de non-conformité. Module KYC (Know Your Customer) pour l'onboarding sécurisé des clients avec validation documentaire.</w:t>
      </w:r>
    </w:p>
    <w:p/>
    <w:p>
      <w:pPr>
        <w:spacing w:before="200" w:after="80"/>
      </w:pPr>
      <w:r>
        <w:rPr>
          <w:rFonts w:ascii="Calibri" w:hAnsi="Calibri"/>
          <w:b/>
          <w:i w:val="0"/>
          <w:color w:val="1E293B"/>
          <w:sz w:val="22"/>
        </w:rPr>
        <w:t>Conseil &amp; Stratégie</w:t>
      </w:r>
    </w:p>
    <w:p>
      <w:pPr>
        <w:spacing w:before="0" w:after="80" w:line="280" w:lineRule="exact"/>
      </w:pPr>
      <w:r>
        <w:rPr>
          <w:rFonts w:ascii="Calibri" w:hAnsi="Calibri"/>
          <w:b w:val="0"/>
          <w:i w:val="0"/>
          <w:color w:val="1E293B"/>
          <w:sz w:val="21"/>
        </w:rPr>
        <w:t>Espace de travail des équipes conseil : outils d'analyse stratégique (SWOT, PESTEL, matrices), gestion des engagements clients, suivi des recommandations et plans d'action. Historique des opinions et avis professionnels.</w:t>
      </w:r>
    </w:p>
    <w:p/>
    <w:p>
      <w:pPr>
        <w:spacing w:before="200" w:after="80"/>
      </w:pPr>
      <w:r>
        <w:rPr>
          <w:rFonts w:ascii="Calibri" w:hAnsi="Calibri"/>
          <w:b/>
          <w:i w:val="0"/>
          <w:color w:val="1E293B"/>
          <w:sz w:val="22"/>
        </w:rPr>
        <w:t>Communication &amp; Marketing</w:t>
      </w:r>
    </w:p>
    <w:p>
      <w:pPr>
        <w:spacing w:before="0" w:after="80" w:line="280" w:lineRule="exact"/>
      </w:pPr>
      <w:r>
        <w:rPr>
          <w:rFonts w:ascii="Calibri" w:hAnsi="Calibri"/>
          <w:b w:val="0"/>
          <w:i w:val="0"/>
          <w:color w:val="1E293B"/>
          <w:sz w:val="21"/>
        </w:rPr>
        <w:t>Gestion des communications externes du cabinet : campagnes, plans de communication, création de contenus, suivi des actions marketing. Archivage des supports de communication.</w:t>
      </w:r>
    </w:p>
    <w:p/>
    <w:p>
      <w:pPr>
        <w:spacing w:before="200" w:after="80"/>
      </w:pPr>
      <w:r>
        <w:rPr>
          <w:rFonts w:ascii="Calibri" w:hAnsi="Calibri"/>
          <w:b/>
          <w:i w:val="0"/>
          <w:color w:val="1E293B"/>
          <w:sz w:val="22"/>
        </w:rPr>
        <w:t>Logistique &amp; Moyens Généraux</w:t>
      </w:r>
    </w:p>
    <w:p>
      <w:pPr>
        <w:spacing w:before="0" w:after="80" w:line="280" w:lineRule="exact"/>
      </w:pPr>
      <w:r>
        <w:rPr>
          <w:rFonts w:ascii="Calibri" w:hAnsi="Calibri"/>
          <w:b w:val="0"/>
          <w:i w:val="0"/>
          <w:color w:val="1E293B"/>
          <w:sz w:val="21"/>
        </w:rPr>
        <w:t>Gestion opérationnelle : achats, suivi des stocks et équipements, gestion des fournisseurs, maintenance et interventions. Alertes sur les seuils et dates d'échéance.</w:t>
      </w:r>
    </w:p>
    <w:p/>
    <w:p>
      <w:pPr>
        <w:spacing w:before="200" w:after="80"/>
      </w:pPr>
      <w:r>
        <w:rPr>
          <w:rFonts w:ascii="Calibri" w:hAnsi="Calibri"/>
          <w:b/>
          <w:i w:val="0"/>
          <w:color w:val="1E293B"/>
          <w:sz w:val="22"/>
        </w:rPr>
        <w:t>Messagerie Unifiée</w:t>
      </w:r>
    </w:p>
    <w:p>
      <w:pPr>
        <w:spacing w:before="0" w:after="80" w:line="280" w:lineRule="exact"/>
      </w:pPr>
      <w:r>
        <w:rPr>
          <w:rFonts w:ascii="Calibri" w:hAnsi="Calibri"/>
          <w:b w:val="0"/>
          <w:i w:val="0"/>
          <w:color w:val="1E293B"/>
          <w:sz w:val="21"/>
        </w:rPr>
        <w:t>Système de communication interne : messagerie instantanée, gestion du courrier entrant et sortant, pièces jointes sécurisées et archivage des échanges. Accessible à tous les collaborateurs.</w:t>
      </w:r>
    </w:p>
    <w:p/>
    <w:p>
      <w:pPr>
        <w:spacing w:before="200" w:after="80"/>
      </w:pPr>
      <w:r>
        <w:rPr>
          <w:rFonts w:ascii="Calibri" w:hAnsi="Calibri"/>
          <w:b/>
          <w:i w:val="0"/>
          <w:color w:val="1E293B"/>
          <w:sz w:val="22"/>
        </w:rPr>
        <w:t>Agenda &amp; Planification</w:t>
      </w:r>
    </w:p>
    <w:p>
      <w:pPr>
        <w:spacing w:before="0" w:after="80" w:line="280" w:lineRule="exact"/>
      </w:pPr>
      <w:r>
        <w:rPr>
          <w:rFonts w:ascii="Calibri" w:hAnsi="Calibri"/>
          <w:b w:val="0"/>
          <w:i w:val="0"/>
          <w:color w:val="1E293B"/>
          <w:sz w:val="21"/>
        </w:rPr>
        <w:t>Calendrier partagé pour la gestion des rendez-vous, réunions et événements. Invitations, rappels automatiques et détection de conflits d'agenda.</w:t>
      </w:r>
    </w:p>
    <w:p/>
    <w:p>
      <w:pPr>
        <w:spacing w:before="200" w:after="80"/>
      </w:pPr>
      <w:r>
        <w:rPr>
          <w:rFonts w:ascii="Calibri" w:hAnsi="Calibri"/>
          <w:b/>
          <w:i w:val="0"/>
          <w:color w:val="1E293B"/>
          <w:sz w:val="22"/>
        </w:rPr>
        <w:t>Tâches &amp; Alertes</w:t>
      </w:r>
    </w:p>
    <w:p>
      <w:pPr>
        <w:spacing w:before="0" w:after="80" w:line="280" w:lineRule="exact"/>
      </w:pPr>
      <w:r>
        <w:rPr>
          <w:rFonts w:ascii="Calibri" w:hAnsi="Calibri"/>
          <w:b w:val="0"/>
          <w:i w:val="0"/>
          <w:color w:val="1E293B"/>
          <w:sz w:val="21"/>
        </w:rPr>
        <w:t>Gestionnaire de tâches collaboratif : création, assignation, priorisation et suivi des actions. Alertes automatiques sur les échéances et les escalades. Vue Kanban et liste par processus.</w:t>
      </w:r>
    </w:p>
    <w:p/>
    <w:p>
      <w:pPr>
        <w:spacing w:before="200" w:after="80"/>
      </w:pPr>
      <w:r>
        <w:rPr>
          <w:rFonts w:ascii="Calibri" w:hAnsi="Calibri"/>
          <w:b/>
          <w:i w:val="0"/>
          <w:color w:val="1E293B"/>
          <w:sz w:val="22"/>
        </w:rPr>
        <w:t>Conventions de Mission</w:t>
      </w:r>
    </w:p>
    <w:p>
      <w:pPr>
        <w:spacing w:before="0" w:after="80" w:line="280" w:lineRule="exact"/>
      </w:pPr>
      <w:r>
        <w:rPr>
          <w:rFonts w:ascii="Calibri" w:hAnsi="Calibri"/>
          <w:b w:val="0"/>
          <w:i w:val="0"/>
          <w:color w:val="1E293B"/>
          <w:sz w:val="21"/>
        </w:rPr>
        <w:t>Gestion des lettres de mission et conventions de prestation : modèles, personnalisation, signature numérique et archivage. Accessible à tous les collaborateurs de niveau 3 et plus.</w:t>
      </w:r>
    </w:p>
    <w:p/>
    <w:p>
      <w:pPr>
        <w:spacing w:before="200" w:after="80"/>
      </w:pPr>
      <w:r>
        <w:rPr>
          <w:rFonts w:ascii="Calibri" w:hAnsi="Calibri"/>
          <w:b/>
          <w:i w:val="0"/>
          <w:color w:val="1E293B"/>
          <w:sz w:val="22"/>
        </w:rPr>
        <w:t>Rapports d'Activité</w:t>
      </w:r>
    </w:p>
    <w:p>
      <w:pPr>
        <w:spacing w:before="0" w:after="80" w:line="280" w:lineRule="exact"/>
      </w:pPr>
      <w:r>
        <w:rPr>
          <w:rFonts w:ascii="Calibri" w:hAnsi="Calibri"/>
          <w:b w:val="0"/>
          <w:i w:val="0"/>
          <w:color w:val="1E293B"/>
          <w:sz w:val="21"/>
        </w:rPr>
        <w:t>Génération et archivage des rapports d'activité périodiques. Templates institutionnels, compilation automatique des données et distribution aux parties prenantes.</w:t>
      </w:r>
    </w:p>
    <w:p/>
    <w:p>
      <w:pPr>
        <w:spacing w:before="280" w:after="80"/>
      </w:pPr>
      <w:r>
        <w:rPr>
          <w:rFonts w:ascii="Calibri Light" w:hAnsi="Calibri Light"/>
          <w:b/>
          <w:i w:val="0"/>
          <w:color w:val="0A1E4A"/>
          <w:sz w:val="40"/>
        </w:rPr>
        <w:t>8. Déploiement &amp; Infrastructure</w:t>
      </w:r>
    </w:p>
    <w:p>
      <w:pPr>
        <w:spacing w:before="0" w:after="160"/>
      </w:pPr>
      <w:r>
        <w:rPr>
          <w:rFonts w:ascii="Calibri" w:hAnsi="Calibri"/>
          <w:b w:val="0"/>
          <w:i w:val="0"/>
          <w:color w:val="C9A84C"/>
          <w:sz w:val="18"/>
        </w:rPr>
        <w:t>────────────────────────────────────────────────────────────</w:t>
      </w:r>
    </w:p>
    <w:p>
      <w:pPr>
        <w:spacing w:before="0" w:after="80" w:line="280" w:lineRule="exact"/>
      </w:pPr>
      <w:r>
        <w:rPr>
          <w:rFonts w:ascii="Calibri" w:hAnsi="Calibri"/>
          <w:b w:val="0"/>
          <w:i w:val="0"/>
          <w:color w:val="1E293B"/>
          <w:sz w:val="21"/>
        </w:rPr>
        <w:t>Le SI est déployé en mode réseau local (LAN) dans les locaux de Génie Consultant. Cette architecture garantit la maîtrise totale des données, leur confidentialité absolue et des performances optimales sans dépendance à une connexion internet.</w:t>
      </w:r>
    </w:p>
    <w:p>
      <w:pPr>
        <w:spacing w:before="200" w:after="80"/>
      </w:pPr>
      <w:r>
        <w:rPr>
          <w:rFonts w:ascii="Calibri Light" w:hAnsi="Calibri Light"/>
          <w:b/>
          <w:i w:val="0"/>
          <w:color w:val="0A1E4A"/>
          <w:sz w:val="28"/>
        </w:rPr>
        <w:t>Accessibilité</w:t>
      </w:r>
    </w:p>
    <w:p>
      <w:pPr>
        <w:pStyle w:val="ListBullet"/>
        <w:spacing w:before="20" w:after="20" w:line="260" w:lineRule="exact"/>
      </w:pPr>
      <w:r>
        <w:rPr>
          <w:rFonts w:ascii="Calibri" w:hAnsi="Calibri"/>
          <w:b w:val="0"/>
          <w:i w:val="0"/>
          <w:color w:val="1E293B"/>
          <w:sz w:val="20"/>
        </w:rPr>
        <w:t>Accessible depuis tout poste du réseau interne via un navigateur web standard</w:t>
      </w:r>
    </w:p>
    <w:p>
      <w:pPr>
        <w:pStyle w:val="ListBullet"/>
        <w:spacing w:before="20" w:after="20" w:line="260" w:lineRule="exact"/>
      </w:pPr>
      <w:r>
        <w:rPr>
          <w:rFonts w:ascii="Calibri" w:hAnsi="Calibri"/>
          <w:b w:val="0"/>
          <w:i w:val="0"/>
          <w:color w:val="1E293B"/>
          <w:sz w:val="20"/>
        </w:rPr>
        <w:t>Aucune installation requise sur les postes clients</w:t>
      </w:r>
    </w:p>
    <w:p>
      <w:pPr>
        <w:pStyle w:val="ListBullet"/>
        <w:spacing w:before="20" w:after="20" w:line="260" w:lineRule="exact"/>
      </w:pPr>
      <w:r>
        <w:rPr>
          <w:rFonts w:ascii="Calibri" w:hAnsi="Calibri"/>
          <w:b w:val="0"/>
          <w:i w:val="0"/>
          <w:color w:val="1E293B"/>
          <w:sz w:val="20"/>
        </w:rPr>
        <w:t>Compatible avec les navigateurs Edge, Chrome et Firefox</w:t>
      </w:r>
    </w:p>
    <w:p>
      <w:pPr>
        <w:pStyle w:val="ListBullet"/>
        <w:spacing w:before="20" w:after="20" w:line="260" w:lineRule="exact"/>
      </w:pPr>
      <w:r>
        <w:rPr>
          <w:rFonts w:ascii="Calibri" w:hAnsi="Calibri"/>
          <w:b w:val="0"/>
          <w:i w:val="0"/>
          <w:color w:val="1E293B"/>
          <w:sz w:val="20"/>
        </w:rPr>
        <w:t>Interface optimisée pour un usage bureautique professionnel</w:t>
      </w:r>
    </w:p>
    <w:p>
      <w:pPr>
        <w:spacing w:before="200" w:after="80"/>
      </w:pPr>
      <w:r>
        <w:rPr>
          <w:rFonts w:ascii="Calibri Light" w:hAnsi="Calibri Light"/>
          <w:b/>
          <w:i w:val="0"/>
          <w:color w:val="0A1E4A"/>
          <w:sz w:val="28"/>
        </w:rPr>
        <w:t>Disponibilité &amp; Résilience</w:t>
      </w:r>
    </w:p>
    <w:p>
      <w:pPr>
        <w:pStyle w:val="ListBullet"/>
        <w:spacing w:before="20" w:after="20" w:line="260" w:lineRule="exact"/>
      </w:pPr>
      <w:r>
        <w:rPr>
          <w:rFonts w:ascii="Calibri" w:hAnsi="Calibri"/>
          <w:b w:val="0"/>
          <w:i w:val="0"/>
          <w:color w:val="1E293B"/>
          <w:sz w:val="20"/>
        </w:rPr>
        <w:t>Surveillance automatique du serveur avec redémarrage en cas d'incident</w:t>
      </w:r>
    </w:p>
    <w:p>
      <w:pPr>
        <w:pStyle w:val="ListBullet"/>
        <w:spacing w:before="20" w:after="20" w:line="260" w:lineRule="exact"/>
      </w:pPr>
      <w:r>
        <w:rPr>
          <w:rFonts w:ascii="Calibri" w:hAnsi="Calibri"/>
          <w:b w:val="0"/>
          <w:i w:val="0"/>
          <w:color w:val="1E293B"/>
          <w:sz w:val="20"/>
        </w:rPr>
        <w:t>Sauvegardes automatiques régulières de l'intégralité des données</w:t>
      </w:r>
    </w:p>
    <w:p>
      <w:pPr>
        <w:pStyle w:val="ListBullet"/>
        <w:spacing w:before="20" w:after="20" w:line="260" w:lineRule="exact"/>
      </w:pPr>
      <w:r>
        <w:rPr>
          <w:rFonts w:ascii="Calibri" w:hAnsi="Calibri"/>
          <w:b w:val="0"/>
          <w:i w:val="0"/>
          <w:color w:val="1E293B"/>
          <w:sz w:val="20"/>
        </w:rPr>
        <w:t>Mode de fonctionnement dégradé en cas de perte temporaire de connexion</w:t>
      </w:r>
    </w:p>
    <w:p>
      <w:pPr>
        <w:pStyle w:val="ListBullet"/>
        <w:spacing w:before="20" w:after="20" w:line="260" w:lineRule="exact"/>
      </w:pPr>
      <w:r>
        <w:rPr>
          <w:rFonts w:ascii="Calibri" w:hAnsi="Calibri"/>
          <w:b w:val="0"/>
          <w:i w:val="0"/>
          <w:color w:val="1E293B"/>
          <w:sz w:val="20"/>
        </w:rPr>
        <w:t>Journal des opérations et des erreurs pour faciliter la maintenance</w:t>
      </w:r>
    </w:p>
    <w:p>
      <w:pPr>
        <w:spacing w:before="200" w:after="80"/>
      </w:pPr>
      <w:r>
        <w:rPr>
          <w:rFonts w:ascii="Calibri Light" w:hAnsi="Calibri Light"/>
          <w:b/>
          <w:i w:val="0"/>
          <w:color w:val="0A1E4A"/>
          <w:sz w:val="28"/>
        </w:rPr>
        <w:t>Évolutivité</w:t>
      </w:r>
    </w:p>
    <w:p>
      <w:pPr>
        <w:pStyle w:val="ListBullet"/>
        <w:spacing w:before="20" w:after="20" w:line="260" w:lineRule="exact"/>
      </w:pPr>
      <w:r>
        <w:rPr>
          <w:rFonts w:ascii="Calibri" w:hAnsi="Calibri"/>
          <w:b w:val="0"/>
          <w:i w:val="0"/>
          <w:color w:val="1E293B"/>
          <w:sz w:val="20"/>
        </w:rPr>
        <w:t>Architecture modulaire permettant l'ajout de nouvelles fonctionnalités</w:t>
      </w:r>
    </w:p>
    <w:p>
      <w:pPr>
        <w:pStyle w:val="ListBullet"/>
        <w:spacing w:before="20" w:after="20" w:line="260" w:lineRule="exact"/>
      </w:pPr>
      <w:r>
        <w:rPr>
          <w:rFonts w:ascii="Calibri" w:hAnsi="Calibri"/>
          <w:b w:val="0"/>
          <w:i w:val="0"/>
          <w:color w:val="1E293B"/>
          <w:sz w:val="20"/>
        </w:rPr>
        <w:t>Nombre d'utilisateurs simultanés non limité par la plateforme</w:t>
      </w:r>
    </w:p>
    <w:p>
      <w:pPr>
        <w:pStyle w:val="ListBullet"/>
        <w:spacing w:before="20" w:after="20" w:line="260" w:lineRule="exact"/>
      </w:pPr>
      <w:r>
        <w:rPr>
          <w:rFonts w:ascii="Calibri" w:hAnsi="Calibri"/>
          <w:b w:val="0"/>
          <w:i w:val="0"/>
          <w:color w:val="1E293B"/>
          <w:sz w:val="20"/>
        </w:rPr>
        <w:t>Capacité d'intégration avec des outils tiers selon les besoins du cabinet</w:t>
      </w:r>
    </w:p>
    <w:p/>
    <w:p>
      <w:pPr>
        <w:spacing w:before="280" w:after="80"/>
      </w:pPr>
      <w:r>
        <w:rPr>
          <w:rFonts w:ascii="Calibri Light" w:hAnsi="Calibri Light"/>
          <w:b/>
          <w:i w:val="0"/>
          <w:color w:val="0A1E4A"/>
          <w:sz w:val="40"/>
        </w:rPr>
        <w:t>9. Gouvernance du Système d'Information</w:t>
      </w:r>
    </w:p>
    <w:p>
      <w:pPr>
        <w:spacing w:before="0" w:after="160"/>
      </w:pPr>
      <w:r>
        <w:rPr>
          <w:rFonts w:ascii="Calibri" w:hAnsi="Calibri"/>
          <w:b w:val="0"/>
          <w:i w:val="0"/>
          <w:color w:val="C9A84C"/>
          <w:sz w:val="18"/>
        </w:rPr>
        <w:t>────────────────────────────────────────────────────────────</w:t>
      </w:r>
    </w:p>
    <w:p>
      <w:pPr>
        <w:spacing w:before="0" w:after="80" w:line="280" w:lineRule="exact"/>
      </w:pPr>
      <w:r>
        <w:rPr>
          <w:rFonts w:ascii="Calibri" w:hAnsi="Calibri"/>
          <w:b w:val="0"/>
          <w:i w:val="0"/>
          <w:color w:val="1E293B"/>
          <w:sz w:val="21"/>
        </w:rPr>
        <w:t>La gouvernance du SI repose sur une organisation claire des responsabilités, garantissant la pérennité et la maîtrise de la plateforme.</w:t>
      </w:r>
    </w:p>
    <w:p>
      <w:pPr>
        <w:spacing w:before="200" w:after="80"/>
      </w:pPr>
      <w:r>
        <w:rPr>
          <w:rFonts w:ascii="Calibri Light" w:hAnsi="Calibri Light"/>
          <w:b/>
          <w:i w:val="0"/>
          <w:color w:val="0A1E4A"/>
          <w:sz w:val="28"/>
        </w:rPr>
        <w:t>Rôles et responsabilités</w:t>
      </w: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0A1E4A"/>
          </w:tcPr>
          <w:p>
            <w:pPr>
              <w:spacing w:before="60" w:after="60"/>
            </w:pPr>
            <w:r>
              <w:rPr>
                <w:rFonts w:ascii="Calibri" w:hAnsi="Calibri"/>
                <w:b/>
                <w:i w:val="0"/>
                <w:color w:val="FFFFFF"/>
                <w:sz w:val="19"/>
              </w:rPr>
              <w:t>Rôle</w:t>
            </w:r>
          </w:p>
        </w:tc>
        <w:tc>
          <w:tcPr>
            <w:tcW w:type="dxa" w:w="6520"/>
            <w:shd w:val="clear" w:color="auto" w:fill="0A1E4A"/>
          </w:tcPr>
          <w:p>
            <w:pPr>
              <w:spacing w:before="60" w:after="60"/>
            </w:pPr>
            <w:r>
              <w:rPr>
                <w:rFonts w:ascii="Calibri" w:hAnsi="Calibri"/>
                <w:b/>
                <w:i w:val="0"/>
                <w:color w:val="FFFFFF"/>
                <w:sz w:val="19"/>
              </w:rPr>
              <w:t>Responsabilités</w:t>
            </w:r>
          </w:p>
        </w:tc>
      </w:tr>
      <w:tr>
        <w:tc>
          <w:tcPr>
            <w:tcW w:type="dxa" w:w="2551"/>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Direction Générale</w:t>
            </w:r>
          </w:p>
        </w:tc>
        <w:tc>
          <w:tcPr>
            <w:tcW w:type="dxa" w:w="6520"/>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Validation des accès sensibles, supervision globale, définition des orientations SI</w:t>
            </w:r>
          </w:p>
        </w:tc>
      </w:tr>
      <w:tr>
        <w:tc>
          <w:tcPr>
            <w:tcW w:type="dxa" w:w="2551"/>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Administrateur SI</w:t>
            </w:r>
          </w:p>
        </w:tc>
        <w:tc>
          <w:tcPr>
            <w:tcW w:type="dxa" w:w="6520"/>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Gestion des comptes utilisateurs, configuration des droits, maintenance, sauvegardes</w:t>
            </w:r>
          </w:p>
        </w:tc>
      </w:tr>
      <w:tr>
        <w:tc>
          <w:tcPr>
            <w:tcW w:type="dxa" w:w="2551"/>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Responsables de processus</w:t>
            </w:r>
          </w:p>
        </w:tc>
        <w:tc>
          <w:tcPr>
            <w:tcW w:type="dxa" w:w="6520"/>
            <w:shd w:val="clear" w:color="auto" w:fill="F8FAFC"/>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Supervision des données de leur périmètre, validation des dossiers, gestion de leur équipe</w:t>
            </w:r>
          </w:p>
        </w:tc>
      </w:tr>
      <w:tr>
        <w:tc>
          <w:tcPr>
            <w:tcW w:type="dxa" w:w="2551"/>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Collaborateurs</w:t>
            </w:r>
          </w:p>
        </w:tc>
        <w:tc>
          <w:tcPr>
            <w:tcW w:type="dxa" w:w="6520"/>
            <w:shd w:val="clear" w:color="auto" w:fill="FFFFFF"/>
            <w:tcBorders>
              <w:top w:val="single" w:sz="4" w:color="E2E8F0"/>
              <w:left w:val="single" w:sz="4" w:color="E2E8F0"/>
              <w:bottom w:val="single" w:sz="4" w:color="E2E8F0"/>
              <w:right w:val="single" w:sz="4" w:color="E2E8F0"/>
            </w:tcBorders>
          </w:tcPr>
          <w:p>
            <w:pPr>
              <w:spacing w:before="40" w:after="40"/>
            </w:pPr>
            <w:r>
              <w:rPr>
                <w:rFonts w:ascii="Calibri" w:hAnsi="Calibri"/>
                <w:b w:val="0"/>
                <w:i w:val="0"/>
                <w:color w:val="1E293B"/>
                <w:sz w:val="19"/>
              </w:rPr>
              <w:t>Utilisation dans le respect des règles d'accès, signalement d'anomalies</w:t>
            </w:r>
          </w:p>
        </w:tc>
      </w:tr>
    </w:tbl>
    <w:p/>
    <w:p>
      <w:pPr>
        <w:spacing w:before="200" w:after="80"/>
      </w:pPr>
      <w:r>
        <w:rPr>
          <w:rFonts w:ascii="Calibri Light" w:hAnsi="Calibri Light"/>
          <w:b/>
          <w:i w:val="0"/>
          <w:color w:val="0A1E4A"/>
          <w:sz w:val="28"/>
        </w:rPr>
        <w:t>Règles d'usage</w:t>
      </w:r>
    </w:p>
    <w:p>
      <w:pPr>
        <w:pStyle w:val="ListBullet"/>
        <w:spacing w:before="20" w:after="20" w:line="260" w:lineRule="exact"/>
      </w:pPr>
      <w:r>
        <w:rPr>
          <w:rFonts w:ascii="Calibri" w:hAnsi="Calibri"/>
          <w:b w:val="0"/>
          <w:i w:val="0"/>
          <w:color w:val="1E293B"/>
          <w:sz w:val="20"/>
        </w:rPr>
        <w:t>Chaque compte est strictement personnel et ne doit pas être partagé</w:t>
      </w:r>
    </w:p>
    <w:p>
      <w:pPr>
        <w:pStyle w:val="ListBullet"/>
        <w:spacing w:before="20" w:after="20" w:line="260" w:lineRule="exact"/>
      </w:pPr>
      <w:r>
        <w:rPr>
          <w:rFonts w:ascii="Calibri" w:hAnsi="Calibri"/>
          <w:b w:val="0"/>
          <w:i w:val="0"/>
          <w:color w:val="1E293B"/>
          <w:sz w:val="20"/>
        </w:rPr>
        <w:t>Toute action est tracée et peut être auditée à tout moment</w:t>
      </w:r>
    </w:p>
    <w:p>
      <w:pPr>
        <w:pStyle w:val="ListBullet"/>
        <w:spacing w:before="20" w:after="20" w:line="260" w:lineRule="exact"/>
      </w:pPr>
      <w:r>
        <w:rPr>
          <w:rFonts w:ascii="Calibri" w:hAnsi="Calibri"/>
          <w:b w:val="0"/>
          <w:i w:val="0"/>
          <w:color w:val="1E293B"/>
          <w:sz w:val="20"/>
        </w:rPr>
        <w:t>Les droits d'accès doivent être revus régulièrement avec les responsables</w:t>
      </w:r>
    </w:p>
    <w:p>
      <w:pPr>
        <w:pStyle w:val="ListBullet"/>
        <w:spacing w:before="20" w:after="20" w:line="260" w:lineRule="exact"/>
      </w:pPr>
      <w:r>
        <w:rPr>
          <w:rFonts w:ascii="Calibri" w:hAnsi="Calibri"/>
          <w:b w:val="0"/>
          <w:i w:val="0"/>
          <w:color w:val="1E293B"/>
          <w:sz w:val="20"/>
        </w:rPr>
        <w:t>Tout incident ou anomalie doit être signalé à l'administrateur SI</w:t>
      </w:r>
    </w:p>
    <w:p/>
    <w:p>
      <w:pPr>
        <w:spacing w:before="80" w:after="80"/>
      </w:pPr>
      <w:r>
        <w:rPr>
          <w:rFonts w:ascii="Calibri" w:hAnsi="Calibri"/>
          <w:b w:val="0"/>
          <w:i w:val="0"/>
          <w:color w:val="CBD5E1"/>
          <w:sz w:val="16"/>
        </w:rPr>
        <w:t>────────────────────────────────────────────────────────────────────────────────</w:t>
      </w:r>
    </w:p>
    <w:p>
      <w:pPr>
        <w:spacing w:before="40" w:after="40"/>
        <w:jc w:val="center"/>
      </w:pPr>
      <w:r>
        <w:rPr>
          <w:rFonts w:ascii="Calibri" w:hAnsi="Calibri"/>
          <w:b w:val="0"/>
          <w:i/>
          <w:color w:val="64748B"/>
          <w:sz w:val="16"/>
        </w:rPr>
        <w:t>Document confidentiel — Propriété exclusive de Génie Consultant</w:t>
        <w:br/>
        <w:t>Toute reproduction ou diffusion externe est strictement interdite sans autorisation écrite de la Direction.</w:t>
        <w:br/>
        <w:t>© 2026 Génie Consultant — Libreville, République Gabonaise</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