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Aptos Display" w:hAnsi="Aptos Display"/>
          <w:b/>
          <w:color w:val="2B7A78"/>
          <w:sz w:val="30"/>
        </w:rPr>
        <w:t>AIMARKTECH</w:t>
      </w:r>
    </w:p>
    <w:p>
      <w:pPr>
        <w:spacing w:before="720" w:after="80"/>
        <w:jc w:val="center"/>
      </w:pPr>
      <w:r>
        <w:rPr>
          <w:rFonts w:ascii="Aptos Display" w:hAnsi="Aptos Display"/>
          <w:b/>
          <w:color w:val="17324D"/>
          <w:sz w:val="52"/>
        </w:rPr>
        <w:t>ESTADO EJECUTIVO DEL PROYECTO</w:t>
      </w:r>
    </w:p>
    <w:p>
      <w:pPr>
        <w:jc w:val="center"/>
      </w:pPr>
      <w:r>
        <w:rPr>
          <w:rFonts w:ascii="Aptos Display" w:hAnsi="Aptos Display"/>
          <w:color w:val="2B7A78"/>
          <w:sz w:val="34"/>
        </w:rPr>
        <w:t>Marca digital y ecosistema de conversión</w:t>
      </w:r>
    </w:p>
    <w:p>
      <w:pPr>
        <w:spacing w:before="40" w:after="160"/>
        <w:pBdr>
          <w:bottom w:val="single" w:sz="18" w:space="1" w:color="C89B5A"/>
        </w:pBdr>
      </w:pPr>
    </w:p>
    <w:p>
      <w:pPr>
        <w:spacing w:before="360"/>
        <w:jc w:val="center"/>
      </w:pPr>
      <w:r>
        <w:rPr>
          <w:color w:val="64748B"/>
          <w:sz w:val="20"/>
        </w:rPr>
        <w:t>Preparado para</w:t>
      </w:r>
    </w:p>
    <w:p>
      <w:pPr>
        <w:jc w:val="center"/>
      </w:pPr>
      <w:r>
        <w:rPr>
          <w:rFonts w:ascii="Aptos Display" w:hAnsi="Aptos Display"/>
          <w:b/>
          <w:color w:val="17324D"/>
          <w:sz w:val="46"/>
        </w:rPr>
        <w:t>Alicia Arouesty</w:t>
      </w:r>
    </w:p>
    <w:p>
      <w:pPr>
        <w:jc w:val="center"/>
      </w:pPr>
      <w:r>
        <w:rPr>
          <w:color w:val="2B7A78"/>
          <w:sz w:val="24"/>
        </w:rPr>
        <w:t>Estratega en Tranquilidad Integral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120"/>
      </w:tblGrid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Consultoría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3E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AIMARKTECH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José Antonio Aguilar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Actualización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3EC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9"/>
              </w:rPr>
              <w:t>Julio de 2026</w:t>
            </w:r>
          </w:p>
        </w:tc>
      </w:tr>
    </w:tbl>
    <w:p/>
    <w:p>
      <w:pPr>
        <w:spacing w:before="520"/>
        <w:jc w:val="center"/>
      </w:pPr>
      <w:r>
        <w:rPr>
          <w:i/>
          <w:color w:val="64748B"/>
          <w:sz w:val="18"/>
        </w:rPr>
        <w:t>Documento de seguimiento y toma de decisiones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/>
        </w:rPr>
        <w:t xml:space="preserve">El proyecto cuenta ya con una base digital sólida y operativa. </w:t>
      </w:r>
      <w:r>
        <w:t>La estrategia de marca, el sitio web, el dominio, el correo profesional, la captación por medio de una guía, el SEO, las páginas legales, las agendas y los cobros de los servicios principales se encuentran implementados.</w:t>
      </w:r>
    </w:p>
    <w:p>
      <w:r>
        <w:rPr>
          <w:b/>
        </w:rPr>
        <w:t xml:space="preserve">El foco actual está en dos frentes: </w:t>
      </w:r>
      <w:r>
        <w:t>consolidar la conversión de los servicios existentes y completar el lanzamiento del reto “Renacer con Tranquilidad”. Para avanzar sin retrabajos, las decisiones más importantes son definir la duración y el precio del reto, confirmar la plataforma de la clase y finalizar la configuración de seguimiento en Brevo.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DE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17324D"/>
                <w:sz w:val="24"/>
              </w:rPr>
              <w:t>Lectura ejecutiva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La presencia digital ya está construida. El siguiente salto no depende de crear más activos aislados, sino de cerrar decisiones comerciales, conectar el seguimiento y medir el recorrido completo: registro → clase → reto → servicios.</w:t>
            </w:r>
          </w:p>
        </w:tc>
      </w:tr>
    </w:tbl>
    <w:p>
      <w:pPr>
        <w:spacing w:after="0"/>
      </w:pPr>
    </w:p>
    <w:p>
      <w:pPr>
        <w:pStyle w:val="Heading1"/>
      </w:pPr>
      <w:r>
        <w:t>2. Norte estratégico de la marca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B7A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Posicionamiento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Tranquilidad Integral: paz emocional y patrimonio protegido.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B7A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Propuesta central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Acompañar a las personas a ordenar su bienestar y su protección patrimonial desde una visión integral.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2B7A78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Identidad profesional</w:t>
            </w:r>
          </w:p>
        </w:tc>
        <w:tc>
          <w:tcPr>
            <w:tcW w:type="dxa" w:w="50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Contador Público, cédula 5906332, Ing. Industrial y Agente de Seguros con Certificación ante la CNSF, cédula C355135.</w:t>
            </w:r>
          </w:p>
        </w:tc>
      </w:tr>
    </w:tbl>
    <w:p>
      <w:pPr>
        <w:pStyle w:val="Heading1"/>
      </w:pPr>
      <w:r>
        <w:t>3. Tablero de avance</w:t>
      </w:r>
    </w:p>
    <w:p>
      <w:r>
        <w:rPr>
          <w:i/>
          <w:color w:val="64748B"/>
        </w:rPr>
        <w:t>Estimación por fase con base en los entregables y configuraciones reportados al cierre de julio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3024"/>
        <w:gridCol w:w="1224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Avance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0 · Diagnóstico y estrategia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D5B"/>
                <w:sz w:val="17"/>
              </w:rPr>
              <w:t>Completada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D5B"/>
                <w:sz w:val="20"/>
              </w:rPr>
              <w:t>100%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1 · Fundación digital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D5B"/>
                <w:sz w:val="17"/>
              </w:rPr>
              <w:t>Esencialmente completada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E7D5B"/>
                <w:sz w:val="20"/>
              </w:rPr>
              <w:t>95%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 · Activación y conversión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17"/>
              </w:rPr>
              <w:t>En curso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20"/>
              </w:rPr>
              <w:t>80%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3 · Lanzamiento del reto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7791F"/>
                <w:sz w:val="17"/>
              </w:rPr>
              <w:t>En curso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B7791F"/>
                <w:sz w:val="20"/>
              </w:rPr>
              <w:t>40%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4 · Escalamiento y medición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7B8794"/>
                <w:sz w:val="17"/>
              </w:rPr>
              <w:t>Por desarrollar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7B8794"/>
                <w:sz w:val="20"/>
              </w:rPr>
              <w:t>10%</w:t>
            </w:r>
          </w:p>
        </w:tc>
      </w:tr>
    </w:tbl>
    <w:p>
      <w:r>
        <w:br w:type="page"/>
      </w:r>
    </w:p>
    <w:p>
      <w:pPr>
        <w:pStyle w:val="Heading1"/>
      </w:pPr>
      <w:r>
        <w:t>4. Principales avances</w:t>
      </w:r>
    </w:p>
    <w:p>
      <w:pPr>
        <w:pStyle w:val="Heading2"/>
      </w:pPr>
      <w:r>
        <w:t>Estrategia y posicionamiento</w:t>
      </w:r>
    </w:p>
    <w:p>
      <w:pPr>
        <w:pStyle w:val="ListBullet"/>
        <w:spacing w:after="60"/>
      </w:pPr>
      <w:r>
        <w:rPr>
          <w:color w:val="1F2937"/>
        </w:rPr>
        <w:t>Documento Rector de Marca, diagnóstico ejecutivo y plan de trabajo a 90 días.</w:t>
      </w:r>
    </w:p>
    <w:p>
      <w:pPr>
        <w:pStyle w:val="ListBullet"/>
        <w:spacing w:after="60"/>
      </w:pPr>
      <w:r>
        <w:rPr>
          <w:color w:val="1F2937"/>
        </w:rPr>
        <w:t>Propuesta de valor aprobada: “Tranquilidad Integral: paz emocional y patrimonio protegido”.</w:t>
      </w:r>
    </w:p>
    <w:p>
      <w:pPr>
        <w:pStyle w:val="ListBullet"/>
        <w:spacing w:after="60"/>
      </w:pPr>
      <w:r>
        <w:rPr>
          <w:color w:val="1F2937"/>
        </w:rPr>
        <w:t>Discurso de marca, valores, semblanza y títulos profesionales homologados.</w:t>
      </w:r>
    </w:p>
    <w:p>
      <w:pPr>
        <w:pStyle w:val="Heading2"/>
      </w:pPr>
      <w:r>
        <w:t>Fundación digital</w:t>
      </w:r>
    </w:p>
    <w:p>
      <w:pPr>
        <w:pStyle w:val="ListBullet"/>
        <w:spacing w:after="60"/>
      </w:pPr>
      <w:r>
        <w:rPr>
          <w:color w:val="1F2937"/>
        </w:rPr>
        <w:t>Sitio web profesional y responsivo publicado en aliciaarouesty.com, con identidad visual, logotipo y favicon.</w:t>
      </w:r>
    </w:p>
    <w:p>
      <w:pPr>
        <w:pStyle w:val="ListBullet"/>
        <w:spacing w:after="60"/>
      </w:pPr>
      <w:r>
        <w:rPr>
          <w:color w:val="1F2937"/>
        </w:rPr>
        <w:t>Dominio, SSL y correo profesional contacto@aliciaarouesty.com configurados.</w:t>
      </w:r>
    </w:p>
    <w:p>
      <w:pPr>
        <w:pStyle w:val="ListBullet"/>
        <w:spacing w:after="60"/>
      </w:pPr>
      <w:r>
        <w:rPr>
          <w:color w:val="1F2937"/>
        </w:rPr>
        <w:t>SEO técnico implementado: sitemap, robots, canonical, datos estructurados, Open Graph y Google Search Console.</w:t>
      </w:r>
    </w:p>
    <w:p>
      <w:pPr>
        <w:pStyle w:val="ListBullet"/>
        <w:spacing w:after="60"/>
      </w:pPr>
      <w:r>
        <w:rPr>
          <w:color w:val="1F2937"/>
        </w:rPr>
        <w:t>Páginas legales publicadas: Aviso de Privacidad y Términos.</w:t>
      </w:r>
    </w:p>
    <w:p>
      <w:pPr>
        <w:pStyle w:val="Heading2"/>
      </w:pPr>
      <w:r>
        <w:t>Captación y seguimiento</w:t>
      </w:r>
    </w:p>
    <w:p>
      <w:pPr>
        <w:pStyle w:val="ListBullet"/>
        <w:spacing w:after="60"/>
      </w:pPr>
      <w:r>
        <w:rPr>
          <w:color w:val="1F2937"/>
        </w:rPr>
        <w:t>Guía “7 señales” como recurso de captación, con formulario, página de agradecimiento y entrega por correo.</w:t>
      </w:r>
    </w:p>
    <w:p>
      <w:pPr>
        <w:pStyle w:val="ListBullet"/>
        <w:spacing w:after="60"/>
      </w:pPr>
      <w:r>
        <w:rPr>
          <w:color w:val="1F2937"/>
        </w:rPr>
        <w:t>Secuencia de siete correos activa en Brevo; la nueva versión del correo 1 está lista para sustituirse.</w:t>
      </w:r>
    </w:p>
    <w:p>
      <w:pPr>
        <w:pStyle w:val="ListBullet"/>
        <w:spacing w:after="60"/>
      </w:pPr>
      <w:r>
        <w:rPr>
          <w:color w:val="1F2937"/>
        </w:rPr>
        <w:t>Plantilla inicial de CRM entregada para organizar prospectos y seguimientos.</w:t>
      </w:r>
    </w:p>
    <w:p>
      <w:pPr>
        <w:pStyle w:val="Heading2"/>
      </w:pPr>
      <w:r>
        <w:t>Servicios y conversión</w:t>
      </w:r>
    </w:p>
    <w:p>
      <w:pPr>
        <w:pStyle w:val="ListBullet"/>
        <w:spacing w:after="60"/>
      </w:pPr>
      <w:r>
        <w:rPr>
          <w:color w:val="1F2937"/>
        </w:rPr>
        <w:t>Oferta organizada en Charla gratuita, Consultoría, Acompañamiento y Estrategia, con páginas propias.</w:t>
      </w:r>
    </w:p>
    <w:p>
      <w:pPr>
        <w:pStyle w:val="ListBullet"/>
        <w:spacing w:after="60"/>
      </w:pPr>
      <w:r>
        <w:rPr>
          <w:color w:val="1F2937"/>
        </w:rPr>
        <w:t>Agenda conectada con Google Calendar y llamados a la Charla de Claridad.</w:t>
      </w:r>
    </w:p>
    <w:p>
      <w:pPr>
        <w:pStyle w:val="ListBullet"/>
        <w:spacing w:after="60"/>
      </w:pPr>
      <w:r>
        <w:rPr>
          <w:color w:val="1F2937"/>
        </w:rPr>
        <w:t>Pagos habilitados con Mercado Pago: Consultoría $555; Acompañamiento $2,222; Estrategia $7,777 con opción de 3 MSI.</w:t>
      </w:r>
    </w:p>
    <w:p>
      <w:pPr>
        <w:pStyle w:val="Heading2"/>
      </w:pPr>
      <w:r>
        <w:t>Lanzamiento “Renacer con Tranquilidad”</w:t>
      </w:r>
    </w:p>
    <w:p>
      <w:pPr>
        <w:pStyle w:val="ListBullet"/>
        <w:spacing w:after="60"/>
      </w:pPr>
      <w:r>
        <w:rPr>
          <w:color w:val="1F2937"/>
        </w:rPr>
        <w:t>Embudo inicial publicado: registro a la clase gratuita del 3 y 5 de agosto y lista de espera del reto.</w:t>
      </w:r>
    </w:p>
    <w:p>
      <w:pPr>
        <w:pStyle w:val="ListBullet"/>
        <w:spacing w:after="60"/>
      </w:pPr>
      <w:r>
        <w:rPr>
          <w:color w:val="1F2937"/>
        </w:rPr>
        <w:t>Infraestructura preparada para separar correctamente los registros de la clase y del reto.</w:t>
      </w:r>
    </w:p>
    <w:p>
      <w:pPr>
        <w:pStyle w:val="Heading1"/>
      </w:pPr>
      <w:r>
        <w:t>5. Ecosistema digital implementado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324D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C89B5A"/>
                <w:sz w:val="28"/>
              </w:rPr>
              <w:t>1</w:t>
              <w:br/>
            </w:r>
            <w:r>
              <w:rPr>
                <w:b/>
                <w:color w:val="FFFFFF"/>
                <w:sz w:val="16"/>
              </w:rPr>
              <w:t>Atracción</w:t>
              <w:br/>
              <w:t>Sitio + SEO</w:t>
            </w:r>
          </w:p>
        </w:tc>
        <w:tc>
          <w:tcPr>
            <w:tcW w:type="dxa" w:w="2033"/>
            <w:shd w:fill="17324D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C89B5A"/>
                <w:sz w:val="28"/>
              </w:rPr>
              <w:t>2</w:t>
              <w:br/>
            </w:r>
            <w:r>
              <w:rPr>
                <w:b/>
                <w:color w:val="FFFFFF"/>
                <w:sz w:val="16"/>
              </w:rPr>
              <w:t>Captación</w:t>
              <w:br/>
              <w:t>Guía + formularios</w:t>
            </w:r>
          </w:p>
        </w:tc>
        <w:tc>
          <w:tcPr>
            <w:tcW w:type="dxa" w:w="2033"/>
            <w:shd w:fill="17324D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C89B5A"/>
                <w:sz w:val="28"/>
              </w:rPr>
              <w:t>3</w:t>
              <w:br/>
            </w:r>
            <w:r>
              <w:rPr>
                <w:b/>
                <w:color w:val="FFFFFF"/>
                <w:sz w:val="16"/>
              </w:rPr>
              <w:t>Seguimiento</w:t>
              <w:br/>
              <w:t>Brevo + correos</w:t>
            </w:r>
          </w:p>
        </w:tc>
        <w:tc>
          <w:tcPr>
            <w:tcW w:type="dxa" w:w="2033"/>
            <w:shd w:fill="17324D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C89B5A"/>
                <w:sz w:val="28"/>
              </w:rPr>
              <w:t>4</w:t>
              <w:br/>
            </w:r>
            <w:r>
              <w:rPr>
                <w:b/>
                <w:color w:val="FFFFFF"/>
                <w:sz w:val="16"/>
              </w:rPr>
              <w:t>Conversión</w:t>
              <w:br/>
              <w:t>Agenda + pagos</w:t>
            </w:r>
          </w:p>
        </w:tc>
        <w:tc>
          <w:tcPr>
            <w:tcW w:type="dxa" w:w="2033"/>
            <w:shd w:fill="F7F3EC"/>
            <w:tcMar>
              <w:top w:w="160" w:type="dxa"/>
              <w:start w:w="60" w:type="dxa"/>
              <w:bottom w:w="160" w:type="dxa"/>
              <w:end w:w="60" w:type="dxa"/>
            </w:tcMar>
          </w:tcPr>
          <w:p>
            <w:pPr>
              <w:jc w:val="center"/>
            </w:pPr>
            <w:r/>
            <w:r>
              <w:rPr>
                <w:b/>
                <w:color w:val="2B7A78"/>
                <w:sz w:val="28"/>
              </w:rPr>
              <w:t>5</w:t>
              <w:br/>
            </w:r>
            <w:r>
              <w:rPr>
                <w:b/>
                <w:color w:val="17324D"/>
                <w:sz w:val="16"/>
              </w:rPr>
              <w:t>Escalamiento</w:t>
              <w:br/>
              <w:t>Reto + cursos</w:t>
            </w:r>
          </w:p>
        </w:tc>
      </w:tr>
    </w:tbl>
    <w:p>
      <w:pPr>
        <w:spacing w:before="120"/>
      </w:pPr>
      <w:r>
        <w:rPr>
          <w:b/>
        </w:rPr>
        <w:t xml:space="preserve">Estado del flujo: </w:t>
      </w:r>
      <w:r>
        <w:t>las etapas 1 a 4 están operativas; la etapa 5 está en construcción y depende de las definiciones finales del reto.</w:t>
      </w:r>
    </w:p>
    <w:p>
      <w:r>
        <w:br w:type="page"/>
      </w:r>
    </w:p>
    <w:p>
      <w:pPr>
        <w:pStyle w:val="Heading1"/>
      </w:pPr>
      <w:r>
        <w:t>6. Pendientes y responsables</w:t>
      </w:r>
    </w:p>
    <w:p>
      <w:pPr>
        <w:pStyle w:val="Heading2"/>
      </w:pPr>
      <w:r>
        <w:t>6.1 Decisiones e insumos de Alicia</w:t>
      </w:r>
    </w:p>
    <w:p>
      <w:pPr>
        <w:pStyle w:val="ListBullet"/>
        <w:spacing w:after="60"/>
      </w:pPr>
      <w:r>
        <w:rPr>
          <w:color w:val="1F2937"/>
        </w:rPr>
        <w:t>Definir la duración del reto: 7 o 21 días.</w:t>
      </w:r>
    </w:p>
    <w:p>
      <w:pPr>
        <w:pStyle w:val="ListBullet"/>
        <w:spacing w:after="60"/>
      </w:pPr>
      <w:r>
        <w:rPr>
          <w:color w:val="1F2937"/>
        </w:rPr>
        <w:t>Definir precio, modalidades y alcance de cada opción.</w:t>
      </w:r>
    </w:p>
    <w:p>
      <w:pPr>
        <w:pStyle w:val="ListBullet"/>
        <w:spacing w:after="60"/>
      </w:pPr>
      <w:r>
        <w:rPr>
          <w:color w:val="1F2937"/>
        </w:rPr>
        <w:t>Proporcionar o autorizar las ligas de pago del reto en Mercado Pago.</w:t>
      </w:r>
    </w:p>
    <w:p>
      <w:pPr>
        <w:pStyle w:val="ListBullet"/>
        <w:spacing w:after="60"/>
      </w:pPr>
      <w:r>
        <w:rPr>
          <w:color w:val="1F2937"/>
        </w:rPr>
        <w:t>Validar el contenido del cuaderno digital del reto.</w:t>
      </w:r>
    </w:p>
    <w:p>
      <w:pPr>
        <w:pStyle w:val="ListBullet"/>
        <w:spacing w:after="60"/>
      </w:pPr>
      <w:r>
        <w:rPr>
          <w:color w:val="1F2937"/>
        </w:rPr>
        <w:t>Grabar el video de regreso y aprobar el mensaje para contactos.</w:t>
      </w:r>
    </w:p>
    <w:p>
      <w:pPr>
        <w:pStyle w:val="ListBullet"/>
        <w:spacing w:after="60"/>
      </w:pPr>
      <w:r>
        <w:rPr>
          <w:color w:val="1F2937"/>
        </w:rPr>
        <w:t>Compartir testimonios y sus autorizaciones de uso.</w:t>
      </w:r>
    </w:p>
    <w:p>
      <w:pPr>
        <w:pStyle w:val="ListBullet"/>
        <w:spacing w:after="60"/>
      </w:pPr>
      <w:r>
        <w:rPr>
          <w:color w:val="1F2937"/>
        </w:rPr>
        <w:t>Confirmar Zoom o Google Meet para la clase gratuita.</w:t>
      </w:r>
    </w:p>
    <w:p>
      <w:pPr>
        <w:pStyle w:val="ListBullet"/>
        <w:spacing w:after="60"/>
      </w:pPr>
      <w:r>
        <w:rPr>
          <w:color w:val="1F2937"/>
        </w:rPr>
        <w:t>Compartir el ID de Google Analytics (GA4), cuando esté disponible.</w:t>
      </w:r>
    </w:p>
    <w:p>
      <w:pPr>
        <w:pStyle w:val="ListBullet"/>
        <w:spacing w:after="60"/>
      </w:pPr>
      <w:r>
        <w:rPr>
          <w:color w:val="1F2937"/>
        </w:rPr>
        <w:t>Aplicar o aprobar la actualización del perfil de LinkedIn ya preparada.</w:t>
      </w:r>
    </w:p>
    <w:p>
      <w:pPr>
        <w:pStyle w:val="Heading2"/>
      </w:pPr>
      <w:r>
        <w:t>6.2 Configuración y ejecución de AIMARKTECH</w:t>
      </w:r>
    </w:p>
    <w:p>
      <w:pPr>
        <w:pStyle w:val="ListBullet"/>
        <w:spacing w:after="60"/>
      </w:pPr>
      <w:r>
        <w:rPr>
          <w:color w:val="1F2937"/>
        </w:rPr>
        <w:t>Crear las listas “Clase 4 áreas” y “Reto lista de espera” en Brevo, y conectarlas con el sitio.</w:t>
      </w:r>
    </w:p>
    <w:p>
      <w:pPr>
        <w:pStyle w:val="ListBullet"/>
        <w:spacing w:after="60"/>
      </w:pPr>
      <w:r>
        <w:rPr>
          <w:color w:val="1F2937"/>
        </w:rPr>
        <w:t>Configurar los recordatorios de la clase gratuita en Brevo.</w:t>
      </w:r>
    </w:p>
    <w:p>
      <w:pPr>
        <w:pStyle w:val="ListBullet"/>
        <w:spacing w:after="60"/>
      </w:pPr>
      <w:r>
        <w:rPr>
          <w:color w:val="1F2937"/>
        </w:rPr>
        <w:t>Sustituir el correo 1 por la versión final y revisar los correos 2 al 7.</w:t>
      </w:r>
    </w:p>
    <w:p>
      <w:pPr>
        <w:pStyle w:val="ListBullet"/>
        <w:spacing w:after="60"/>
      </w:pPr>
      <w:r>
        <w:rPr>
          <w:color w:val="1F2937"/>
        </w:rPr>
        <w:t>Convertir la lista de espera del reto en página de venta una vez aprobados formato y precio.</w:t>
      </w:r>
    </w:p>
    <w:p>
      <w:pPr>
        <w:pStyle w:val="ListBullet"/>
        <w:spacing w:after="60"/>
      </w:pPr>
      <w:r>
        <w:rPr>
          <w:color w:val="1F2937"/>
        </w:rPr>
        <w:t>Implementar GA4 y el tablero de resultados al recibir el identificador.</w:t>
      </w:r>
    </w:p>
    <w:p>
      <w:pPr>
        <w:pStyle w:val="ListBullet"/>
        <w:spacing w:after="60"/>
      </w:pPr>
      <w:r>
        <w:rPr>
          <w:color w:val="1F2937"/>
        </w:rPr>
        <w:t>Preparar la sección de cursos con Hotmart después del lanzamiento del reto.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F3E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17324D"/>
                <w:sz w:val="24"/>
              </w:rPr>
              <w:t>Dependencia principal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La página final de venta, las ligas de cobro y la comunicación completa del reto solo pueden cerrarse después de aprobar duración, precio, modalidades y alcance.</w:t>
            </w:r>
          </w:p>
        </w:tc>
      </w:tr>
    </w:tbl>
    <w:p>
      <w:pPr>
        <w:spacing w:after="0"/>
      </w:pPr>
    </w:p>
    <w:p>
      <w:pPr>
        <w:pStyle w:val="Heading1"/>
      </w:pPr>
      <w:r>
        <w:t>7. Prioridades recomendadas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"/>
        <w:gridCol w:w="2304"/>
        <w:gridCol w:w="4968"/>
        <w:gridCol w:w="1800"/>
      </w:tblGrid>
      <w:tr>
        <w:trPr>
          <w:tblHeader w:val="true"/>
        </w:trPr>
        <w:tc>
          <w:tcPr>
            <w:tcW w:type="dxa" w:w="25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5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5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17"/>
              </w:rPr>
              <w:t>1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Cerrar decisiones del reto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Duración, precio, modalidades, plataforma de clase y promesa final.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Alicia + AIMARKTECH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17"/>
              </w:rPr>
              <w:t>2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Asegurar la clase gratuita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Listas de Brevo, recordatorios y prueba completa del registro.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AIMARKTECH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17"/>
              </w:rPr>
              <w:t>3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Completar la conversión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Página de venta, ligas de pago, cuaderno y comunicación de lanzamiento.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Trabajo coordinado</w:t>
            </w:r>
          </w:p>
        </w:tc>
      </w:tr>
      <w:tr>
        <w:tc>
          <w:tcPr>
            <w:tcW w:type="dxa" w:w="5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2B7A78"/>
                <w:sz w:val="17"/>
              </w:rPr>
              <w:t>4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Medir y optimizar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GA4, tablero, CRM definitivo, testimonios y seguimiento comercial.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Trabajo coordinado</w:t>
            </w:r>
          </w:p>
        </w:tc>
      </w:tr>
    </w:tbl>
    <w:p>
      <w:r>
        <w:br w:type="page"/>
      </w:r>
    </w:p>
    <w:p>
      <w:pPr>
        <w:pStyle w:val="Heading1"/>
      </w:pPr>
      <w:r>
        <w:t>8. Riesgos y acciones preventivas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Dependencia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Impacto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 recomendada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Definición pendiente del reto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Impide cerrar la página de venta, cobro y comunicación.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Resolver duración, precio y modalidades como decisión prioritaria.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Plataforma de clase sin confirmar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Puede retrasar invitaciones y recordatorios.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Confirmar Zoom o Google Meet y realizar una prueba operativa.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Listas y recordatorios por configurar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Riesgo de seguimiento incompleto a registros.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5F7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Completar configuración y probar el flujo de punta a punta.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/>
                <w:color w:val="1F2937"/>
                <w:sz w:val="17"/>
              </w:rPr>
              <w:t>Medición aún no instalada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habrá lectura integral del desempeño.</w:t>
            </w:r>
          </w:p>
        </w:tc>
        <w:tc>
          <w:tcPr>
            <w:tcW w:type="dxa" w:w="338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Implementar GA4 al recibir el ID y definir un tablero básico.</w:t>
            </w:r>
          </w:p>
        </w:tc>
      </w:tr>
    </w:tbl>
    <w:p>
      <w:pPr>
        <w:pStyle w:val="Heading1"/>
      </w:pPr>
      <w:r>
        <w:t>9. Indicadores sugeridos para la siguiente etapa</w:t>
      </w:r>
    </w:p>
    <w:p>
      <w:r>
        <w:t>Una vez instalada la medición, se recomienda concentrar el tablero en pocos indicadores accionables:</w:t>
      </w:r>
    </w:p>
    <w:p>
      <w:pPr>
        <w:pStyle w:val="ListBullet"/>
        <w:spacing w:after="60"/>
      </w:pPr>
      <w:r>
        <w:rPr>
          <w:color w:val="1F2937"/>
        </w:rPr>
        <w:t>Registros a la clase gratuita y tasa de asistencia.</w:t>
      </w:r>
    </w:p>
    <w:p>
      <w:pPr>
        <w:pStyle w:val="ListBullet"/>
        <w:spacing w:after="60"/>
      </w:pPr>
      <w:r>
        <w:rPr>
          <w:color w:val="1F2937"/>
        </w:rPr>
        <w:t>Crecimiento de la lista de espera del reto.</w:t>
      </w:r>
    </w:p>
    <w:p>
      <w:pPr>
        <w:pStyle w:val="ListBullet"/>
        <w:spacing w:after="60"/>
      </w:pPr>
      <w:r>
        <w:rPr>
          <w:color w:val="1F2937"/>
        </w:rPr>
        <w:t>Conversión de clase a reto y de prospecto a servicio.</w:t>
      </w:r>
    </w:p>
    <w:p>
      <w:pPr>
        <w:pStyle w:val="ListBullet"/>
        <w:spacing w:after="60"/>
      </w:pPr>
      <w:r>
        <w:rPr>
          <w:color w:val="1F2937"/>
        </w:rPr>
        <w:t>Aperturas y clics de la secuencia de correos.</w:t>
      </w:r>
    </w:p>
    <w:p>
      <w:pPr>
        <w:pStyle w:val="ListBullet"/>
        <w:spacing w:after="60"/>
      </w:pPr>
      <w:r>
        <w:rPr>
          <w:color w:val="1F2937"/>
        </w:rPr>
        <w:t>Citas agendadas, pagos confirmados y origen de cada prospecto.</w:t>
      </w:r>
    </w:p>
    <w:p>
      <w:pPr>
        <w:pStyle w:val="Heading1"/>
      </w:pPr>
      <w:r>
        <w:t>10. Cierre y siguiente decisión</w:t>
      </w:r>
    </w:p>
    <w:p>
      <w:r>
        <w:rPr>
          <w:b/>
        </w:rPr>
        <w:t xml:space="preserve">El proyecto ha pasado de la construcción de presencia digital a la etapa de activación comercial. </w:t>
      </w:r>
      <w:r>
        <w:t>La prioridad es cerrar las definiciones del reto y terminar el seguimiento de la clase para convertir la infraestructura existente en un proceso comercial medible y repetible.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DEA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80"/>
            </w:pPr>
            <w:r>
              <w:rPr>
                <w:rFonts w:ascii="Aptos Display" w:hAnsi="Aptos Display"/>
                <w:b/>
                <w:color w:val="17324D"/>
                <w:sz w:val="24"/>
              </w:rPr>
              <w:t>Siguiente reunión sugerida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Sesión breve de cierre de decisiones: duración y precio del reto, modalidades, plataforma de la clase, cuaderno digital y calendario de comunicación.</w:t>
            </w:r>
          </w:p>
        </w:tc>
      </w:tr>
    </w:tbl>
    <w:p>
      <w:pPr>
        <w:spacing w:after="0"/>
      </w:pPr>
    </w:p>
    <w:p>
      <w:pPr>
        <w:pStyle w:val="Heading1"/>
      </w:pPr>
      <w:r>
        <w:t>Contacto de consultoría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7324D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/>
            <w:r>
              <w:rPr>
                <w:rFonts w:ascii="Aptos Display" w:hAnsi="Aptos Display"/>
                <w:b/>
                <w:color w:val="FFFFFF"/>
                <w:sz w:val="28"/>
              </w:rPr>
              <w:t>José Antonio Aguilar</w:t>
            </w:r>
          </w:p>
          <w:p>
            <w:pPr>
              <w:spacing w:after="40"/>
            </w:pPr>
            <w:r>
              <w:rPr>
                <w:b/>
                <w:color w:val="C89B5A"/>
                <w:sz w:val="20"/>
              </w:rPr>
              <w:t>AIMARKTECH</w:t>
            </w:r>
          </w:p>
          <w:p>
            <w:pPr>
              <w:spacing w:after="40"/>
            </w:pPr>
            <w:hyperlink r:id="rId11">
              <w:r>
                <w:rPr>
                  <w:color w:val="FFFFFF"/>
                  <w:u w:val="single"/>
                </w:rPr>
                <w:t>contacto@soyaimarktech.com</w:t>
              </w:r>
            </w:hyperlink>
          </w:p>
          <w:p>
            <w:pPr>
              <w:spacing w:after="0"/>
            </w:pPr>
            <w:hyperlink r:id="rId12">
              <w:r>
                <w:rPr>
                  <w:color w:val="FFFFFF"/>
                  <w:u w:val="single"/>
                </w:rPr>
                <w:t>https://aliciaarouesty.com</w:t>
              </w:r>
            </w:hyperlink>
          </w:p>
        </w:tc>
      </w:tr>
    </w:tbl>
    <w:p>
      <w:pPr>
        <w:spacing w:before="200"/>
        <w:jc w:val="center"/>
      </w:pPr>
      <w:r>
        <w:rPr>
          <w:i/>
          <w:color w:val="64748B"/>
          <w:sz w:val="16"/>
        </w:rPr>
        <w:t>Documento preparado con información de avance disponible al cierre de julio de 2026. No contiene contraseñas ni accesos privados.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</w:rPr>
      <w:t>Alicia Arouesty · Estado del proyecto · Julio 2026</w:t>
    </w:r>
    <w:r>
      <w:rPr>
        <w:rFonts w:ascii="Aptos" w:hAnsi="Aptos"/>
        <w:color w:val="64748B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B7A78"/>
        <w:sz w:val="16"/>
      </w:rPr>
      <w:t>AIMARKTECH  |  Documento ejecutivo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B7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B7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17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605" w:hanging="23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contacto@soyaimarktech.com" TargetMode="External"/><Relationship Id="rId12" Type="http://schemas.openxmlformats.org/officeDocument/2006/relationships/hyperlink" Target="https://aliciaaroues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Ejecutivo del Proyecto — Alicia Arouesty</dc:title>
  <dc:subject>Marca digital y ecosistema de conversión</dc:subject>
  <dc:creator>AIMARKTECH — José Antonio Aguilar</dc:creator>
  <cp:keywords>Alicia Arouesty, AIMARKTECH, estado de proyecto, marca digital</cp:keywords>
  <dc:description>Versión ejecutiva para cliente, julio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