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34"/>
        <w:gridCol w:w="7541"/>
      </w:tblGrid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57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PERSONAL INFORMATION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6"/>
                <w:u w:val="single"/>
                <w:shd w:fill="auto" w:val="clear"/>
              </w:rPr>
              <w:t xml:space="preserve">Mariyan Sokolov </w:t>
            </w:r>
          </w:p>
        </w:tc>
      </w:tr>
      <w:tr>
        <w:trPr>
          <w:trHeight w:val="220" w:hRule="auto"/>
          <w:jc w:val="left"/>
        </w:trPr>
        <w:tc>
          <w:tcPr>
            <w:tcW w:w="103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object w:dxaOrig="2794" w:dyaOrig="3239">
                <v:rect xmlns:o="urn:schemas-microsoft-com:office:office" xmlns:v="urn:schemas-microsoft-com:vml" id="rectole0000000000" style="width:139.700000pt;height:161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object w:dxaOrig="3178" w:dyaOrig="931">
                <v:rect xmlns:o="urn:schemas-microsoft-com:office:office" xmlns:v="urn:schemas-microsoft-com:vml" id="rectole0000000001" style="width:158.900000pt;height:46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shd w:fill="auto" w:val="clear"/>
              </w:rPr>
              <w:t xml:space="preserve">Anton Tainer 37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shd w:fill="auto" w:val="clear"/>
              </w:rPr>
              <w:t xml:space="preserve">4000, Plovdiv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(Bulgaria) </w:t>
            </w:r>
            <w:r>
              <w:object w:dxaOrig="243" w:dyaOrig="283">
                <v:rect xmlns:o="urn:schemas-microsoft-com:office:office" xmlns:v="urn:schemas-microsoft-com:vml" id="rectole0000000002" style="width:12.150000pt;height:14.1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right" w:pos="821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0896 231 486    </w:t>
            </w:r>
            <w:r>
              <w:object w:dxaOrig="243" w:dyaOrig="243">
                <v:rect xmlns:o="urn:schemas-microsoft-com:office:office" xmlns:v="urn:schemas-microsoft-com:vml" id="rectole0000000003" style="width:12.150000pt;height:12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marian.sokolov1@gmail.com </w:t>
            </w:r>
            <w:r>
              <w:object w:dxaOrig="243" w:dyaOrig="283">
                <v:rect xmlns:o="urn:schemas-microsoft-com:office:office" xmlns:v="urn:schemas-microsoft-com:vml" id="rectole0000000004" style="width:12.150000pt;height:14.1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38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85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18"/>
                <w:u w:val="single"/>
                <w:shd w:fill="auto" w:val="clear"/>
              </w:rPr>
              <w:t xml:space="preserve">Sex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Male 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18"/>
                <w:u w:val="single"/>
                <w:shd w:fill="auto" w:val="clear"/>
              </w:rPr>
              <w:t xml:space="preserve">| Date of birth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15/08/1998 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18"/>
                <w:u w:val="single"/>
                <w:shd w:fill="auto" w:val="clear"/>
              </w:rPr>
              <w:t xml:space="preserve">| Nationality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Bulgarian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16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6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EDUCATION AND TRAINING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9414" w:dyaOrig="181">
                <v:rect xmlns:o="urn:schemas-microsoft-com:office:office" xmlns:v="urn:schemas-microsoft-com:vml" id="rectole0000000005" style="width:470.700000pt;height:9.0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  <w:r>
              <w:rPr>
                <w:rFonts w:ascii="Arial" w:hAnsi="Arial" w:cs="Arial" w:eastAsia="Arial"/>
                <w:color w:val="402C24"/>
                <w:spacing w:val="0"/>
                <w:position w:val="0"/>
                <w:sz w:val="8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13/07/2017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Present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85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u w:val="single"/>
                <w:shd w:fill="auto" w:val="clear"/>
              </w:rPr>
              <w:t xml:space="preserve">Plovdiv University "Paisii Hilendarski", Plovdiv (Bulgaria)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15/09/2012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15/05/2017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85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u w:val="single"/>
                <w:shd w:fill="auto" w:val="clear"/>
              </w:rPr>
              <w:t xml:space="preserve">Mathematical High School "Konstantin Velichkov", Pazardzhik (Bulgaria)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Main focus on Math, IT and English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6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PERSONAL SKILLS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9414" w:dyaOrig="181">
                <v:rect xmlns:o="urn:schemas-microsoft-com:office:office" xmlns:v="urn:schemas-microsoft-com:vml" id="rectole0000000006" style="width:470.700000pt;height:9.0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rPr>
                <w:rFonts w:ascii="Arial" w:hAnsi="Arial" w:cs="Arial" w:eastAsia="Arial"/>
                <w:color w:val="402C24"/>
                <w:spacing w:val="0"/>
                <w:position w:val="0"/>
                <w:sz w:val="8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1544"/>
        <w:gridCol w:w="1498"/>
        <w:gridCol w:w="1499"/>
        <w:gridCol w:w="1500"/>
        <w:gridCol w:w="1501"/>
      </w:tblGrid>
      <w:tr>
        <w:trPr>
          <w:trHeight w:val="2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Mother tongue(s)</w:t>
            </w: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Bulgarian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Foreign language(s)</w:t>
            </w:r>
          </w:p>
        </w:tc>
        <w:tc>
          <w:tcPr>
            <w:tcW w:w="3042" w:type="dxa"/>
            <w:gridSpan w:val="2"/>
            <w:tcBorders>
              <w:top w:val="single" w:color="c0c0c0" w:sz="8"/>
              <w:left w:val="single" w:color="000000" w:sz="0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4"/>
                <w:u w:val="single"/>
                <w:shd w:fill="auto" w:val="clear"/>
              </w:rPr>
              <w:t xml:space="preserve">UNDERSTANDING</w:t>
            </w:r>
          </w:p>
        </w:tc>
        <w:tc>
          <w:tcPr>
            <w:tcW w:w="2999" w:type="dxa"/>
            <w:gridSpan w:val="2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4"/>
                <w:u w:val="single"/>
                <w:shd w:fill="auto" w:val="clear"/>
              </w:rPr>
              <w:t xml:space="preserve">SPEAKING</w:t>
            </w:r>
          </w:p>
        </w:tc>
        <w:tc>
          <w:tcPr>
            <w:tcW w:w="1501" w:type="dxa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4"/>
                <w:u w:val="single"/>
                <w:shd w:fill="auto" w:val="clear"/>
              </w:rPr>
              <w:t xml:space="preserve">WRITING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Listening</w:t>
            </w:r>
          </w:p>
        </w:tc>
        <w:tc>
          <w:tcPr>
            <w:tcW w:w="1498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Reading</w:t>
            </w: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Spoken interaction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Spoken production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English</w:t>
            </w: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C1</w:t>
            </w:r>
          </w:p>
        </w:tc>
        <w:tc>
          <w:tcPr>
            <w:tcW w:w="1498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C1</w:t>
            </w:r>
          </w:p>
        </w:tc>
        <w:tc>
          <w:tcPr>
            <w:tcW w:w="1499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B2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B2</w:t>
            </w:r>
          </w:p>
        </w:tc>
        <w:tc>
          <w:tcPr>
            <w:tcW w:w="1501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C1</w:t>
            </w:r>
          </w:p>
        </w:tc>
      </w:tr>
      <w:tr>
        <w:trPr>
          <w:trHeight w:val="38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E4194"/>
                <w:spacing w:val="0"/>
                <w:position w:val="0"/>
                <w:sz w:val="15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5"/>
                <w:u w:val="single"/>
                <w:shd w:fill="auto" w:val="clear"/>
              </w:rPr>
              <w:t xml:space="preserve">Levels: A1 and A2: Basic user - B1 and B2: Independent user - C1 and C2: Proficient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15"/>
                  <w:u w:val="single"/>
                  <w:shd w:fill="auto" w:val="clear"/>
                </w:rPr>
                <w:t xml:space="preserve">Common European Framework of Reference for Languages</w:t>
              </w:r>
            </w:hyperlink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5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6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Communication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-excellent communication skills gained through the school and different internet communities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6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Organisational / managerial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-excellent organisation skills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6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Job-related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-Very good problem solving skills(gained by puzzles, sudoku, chess, etc.)</w:t>
            </w: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-Computer skills</w:t>
            </w: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-Communication</w:t>
            </w: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-Teamwork</w:t>
            </w: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-Technical skills</w:t>
            </w: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28" w:after="56" w:line="240"/>
              <w:ind w:right="0" w:left="0" w:firstLine="0"/>
              <w:jc w:val="left"/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tbl>
      <w:tblPr/>
      <w:tblGrid>
        <w:gridCol w:w="2834"/>
        <w:gridCol w:w="1544"/>
        <w:gridCol w:w="1498"/>
        <w:gridCol w:w="1499"/>
        <w:gridCol w:w="1500"/>
        <w:gridCol w:w="1501"/>
      </w:tblGrid>
      <w:tr>
        <w:trPr>
          <w:trHeight w:val="340" w:hRule="auto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8"/>
                <w:u w:val="single"/>
                <w:shd w:fill="auto" w:val="clear"/>
              </w:rPr>
              <w:t xml:space="preserve">Digital skills</w:t>
            </w:r>
          </w:p>
        </w:tc>
        <w:tc>
          <w:tcPr>
            <w:tcW w:w="7542" w:type="dxa"/>
            <w:gridSpan w:val="5"/>
            <w:tcBorders>
              <w:top w:val="single" w:color="c0c0c0" w:sz="8"/>
              <w:left w:val="single" w:color="000000" w:sz="0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4"/>
                <w:u w:val="single"/>
                <w:shd w:fill="auto" w:val="clear"/>
              </w:rPr>
              <w:t xml:space="preserve">SELF-ASSESSMENT</w:t>
            </w:r>
          </w:p>
        </w:tc>
      </w:tr>
      <w:tr>
        <w:trPr>
          <w:trHeight w:val="68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Information processing</w:t>
            </w:r>
          </w:p>
        </w:tc>
        <w:tc>
          <w:tcPr>
            <w:tcW w:w="1498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Communication</w:t>
            </w: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Content creation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Safety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6"/>
                <w:u w:val="single"/>
                <w:shd w:fill="auto" w:val="clear"/>
              </w:rPr>
              <w:t xml:space="preserve">Problem solving</w:t>
            </w:r>
          </w:p>
        </w:tc>
      </w:tr>
      <w:tr>
        <w:trPr>
          <w:trHeight w:val="28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4" w:type="dxa"/>
            <w:tcBorders>
              <w:top w:val="single" w:color="000000" w:sz="0"/>
              <w:left w:val="single" w:color="000000" w:sz="0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Proficient user</w:t>
            </w:r>
          </w:p>
        </w:tc>
        <w:tc>
          <w:tcPr>
            <w:tcW w:w="1498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Proficient user</w:t>
            </w: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Proficient user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Proficient user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8" w:after="56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Proficient user</w:t>
            </w:r>
          </w:p>
        </w:tc>
      </w:tr>
      <w:tr>
        <w:trPr>
          <w:trHeight w:val="404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15"/>
                  <w:u w:val="single"/>
                  <w:shd w:fill="auto" w:val="clear"/>
                </w:rPr>
                <w:t xml:space="preserve">Digital skills - Self-assessment grid</w:t>
              </w:r>
            </w:hyperlink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15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5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18"/>
                <w:u w:val="single"/>
                <w:shd w:fill="auto" w:val="clear"/>
              </w:rPr>
              <w:t xml:space="preserve">Knowledge in C++, C#, Java, Databases, Android Studio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F3A38"/>
          <w:spacing w:val="0"/>
          <w:position w:val="0"/>
          <w:sz w:val="1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://europass.cedefop.europa.eu/en/resources/european-language-levels-cefr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://europass.cedefop.europa.eu/en/resources/digital-competences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