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
      </w:pPr>
      <w:r>
        <w:rPr>
          <w:b/>
          <w:bCs/>
          <w:color w:val="1F4E5F"/>
          <w:sz w:val="34"/>
          <w:szCs w:val="34"/>
        </w:rPr>
        <w:t xml:space="preserve">Login Screen — Implementation Spec</w:t>
      </w:r>
    </w:p>
    <w:p>
      <w:pPr>
        <w:spacing w:after="180"/>
      </w:pPr>
      <w:r>
        <w:rPr>
          <w:i/>
          <w:iCs/>
          <w:color w:val="555555"/>
          <w:sz w:val="22"/>
          <w:szCs w:val="22"/>
        </w:rPr>
        <w:t xml:space="preserve">Fix the environment gate, then rebuild the screen to match the MediGo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BEEDC" w:val="clear"/>
            <w:tcMar>
              <w:top w:type="dxa" w:w="110"/>
              <w:left w:type="dxa" w:w="150"/>
              <w:bottom w:type="dxa" w:w="110"/>
              <w:right w:type="dxa" w:w="150"/>
            </w:tcMar>
          </w:tcPr>
          <w:p>
            <w:r>
              <w:rPr>
                <w:b/>
                <w:bCs/>
                <w:color w:val="8A4B08"/>
                <w:sz w:val="20"/>
                <w:szCs w:val="20"/>
              </w:rPr>
              <w:t xml:space="preserve">Why this doc exists.  </w:t>
            </w:r>
          </w:p>
          <w:p>
            <w:pPr>
              <w:spacing w:before="40"/>
            </w:pPr>
            <w:r>
              <w:rPr>
                <w:color w:val="5A4326"/>
                <w:sz w:val="20"/>
                <w:szCs w:val="20"/>
              </w:rPr>
              <w:t xml:space="preserve">The current login screen (localhost:5173) looks like an internal debug tool: no product identity, the dev tenant/role picker is the visually dominant element, and one line of text is a literal engineering code comment. This is not acceptable for anything the client sees. This screen must NOT change its underlying auth logic — only its environment gating and visual presentation.</w:t>
            </w:r>
          </w:p>
        </w:tc>
      </w:tr>
    </w:tbl>
    <w:p>
      <w:pPr>
        <w:spacing w:after="150"/>
      </w:pPr>
    </w:p>
    <w:p>
      <w:pPr>
        <w:pStyle w:val="Heading1"/>
        <w:spacing w:after="120" w:before="280"/>
      </w:pPr>
      <w:r>
        <w:rPr>
          <w:color w:val="1F4E5F"/>
        </w:rPr>
        <w:t xml:space="preserve">1. Two Separate Tasks — Do Both</w:t>
      </w:r>
    </w:p>
    <w:p>
      <w:pPr>
        <w:spacing w:after="120" w:line="284"/>
        <w:jc w:val="both"/>
      </w:pPr>
      <w:r>
        <w:rPr>
          <w:sz w:val="22"/>
          <w:szCs w:val="22"/>
        </w:rPr>
        <w:t xml:space="preserve">Task A is a verification, not a build: confirm the developer login picker is truly invisible outside local development. Task B is a visual rebuild of the screen everyone else sees. Do Task A first — it may turn out most of the visible problem already doesn't reach the client, which changes how urgent Task B is, though Task B is still required either way.</w:t>
      </w:r>
    </w:p>
    <w:p>
      <w:pPr>
        <w:spacing w:after="150"/>
      </w:pPr>
    </w:p>
    <w:p>
      <w:pPr>
        <w:pStyle w:val="Heading1"/>
        <w:spacing w:after="120" w:before="280"/>
      </w:pPr>
      <w:r>
        <w:rPr>
          <w:color w:val="1F4E5F"/>
        </w:rPr>
        <w:t xml:space="preserve">2. Task A — Verify the Environment Gate (do this first, today)</w:t>
      </w:r>
    </w:p>
    <w:p>
      <w:pPr>
        <w:spacing w:after="120" w:line="284"/>
        <w:jc w:val="both"/>
      </w:pPr>
      <w:r>
        <w:rPr>
          <w:sz w:val="22"/>
          <w:szCs w:val="22"/>
        </w:rPr>
        <w:t xml:space="preserve">The dev tenant/role picker must only render when the app is built for local development. Prove this with an actual production-mode build, not by reading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1F4E5F" w:val="clear"/>
            <w:tcMar>
              <w:top w:type="dxa" w:w="55"/>
              <w:left w:type="dxa" w:w="90"/>
              <w:bottom w:type="dxa" w:w="55"/>
              <w:right w:type="dxa" w:w="90"/>
            </w:tcMar>
          </w:tcPr>
          <w:p>
            <w:r>
              <w:rPr>
                <w:b/>
                <w:bCs/>
                <w:color w:val="FFFFFF"/>
                <w:sz w:val="17"/>
                <w:szCs w:val="17"/>
              </w:rPr>
              <w:t xml:space="preserve">Step</w:t>
            </w:r>
          </w:p>
        </w:tc>
        <w:tc>
          <w:tcPr>
            <w:tcW w:type="dxa" w:w="8460"/>
            <w:shd w:fill="1F4E5F" w:val="clear"/>
            <w:tcMar>
              <w:top w:type="dxa" w:w="55"/>
              <w:left w:type="dxa" w:w="90"/>
              <w:bottom w:type="dxa" w:w="55"/>
              <w:right w:type="dxa" w:w="90"/>
            </w:tcMar>
          </w:tcPr>
          <w:p>
            <w:r>
              <w:rPr>
                <w:b/>
                <w:bCs/>
                <w:color w:val="FFFFFF"/>
                <w:sz w:val="17"/>
                <w:szCs w:val="17"/>
              </w:rPr>
              <w:t xml:space="preserve">Command / check</w:t>
            </w:r>
          </w:p>
        </w:tc>
      </w:tr>
      <w:tr>
        <w:tc>
          <w:tcPr>
            <w:tcW w:type="dxa" w:w="900"/>
            <w:tcMar>
              <w:top w:type="dxa" w:w="55"/>
              <w:left w:type="dxa" w:w="90"/>
              <w:bottom w:type="dxa" w:w="55"/>
              <w:right w:type="dxa" w:w="90"/>
            </w:tcMar>
          </w:tcPr>
          <w:p>
            <w:r>
              <w:rPr>
                <w:b w:val="false"/>
                <w:bCs w:val="false"/>
                <w:sz w:val="17"/>
                <w:szCs w:val="17"/>
              </w:rPr>
              <w:t xml:space="preserve">1</w:t>
            </w:r>
          </w:p>
        </w:tc>
        <w:tc>
          <w:tcPr>
            <w:tcW w:type="dxa" w:w="8460"/>
            <w:tcMar>
              <w:top w:type="dxa" w:w="55"/>
              <w:left w:type="dxa" w:w="90"/>
              <w:bottom w:type="dxa" w:w="55"/>
              <w:right w:type="dxa" w:w="90"/>
            </w:tcMar>
          </w:tcPr>
          <w:p>
            <w:r>
              <w:rPr>
                <w:b w:val="false"/>
                <w:bCs w:val="false"/>
                <w:sz w:val="17"/>
                <w:szCs w:val="17"/>
              </w:rPr>
              <w:t xml:space="preserve">Build with the flags staging/production will actually use: npm run build with VITE_ALLOW_DEV_TOKENS=false (and no dev-only env file loaded).</w:t>
            </w:r>
          </w:p>
        </w:tc>
      </w:tr>
      <w:tr>
        <w:tc>
          <w:tcPr>
            <w:tcW w:type="dxa" w:w="900"/>
            <w:shd w:fill="EAF2F6" w:val="clear"/>
            <w:tcMar>
              <w:top w:type="dxa" w:w="55"/>
              <w:left w:type="dxa" w:w="90"/>
              <w:bottom w:type="dxa" w:w="55"/>
              <w:right w:type="dxa" w:w="90"/>
            </w:tcMar>
          </w:tcPr>
          <w:p>
            <w:r>
              <w:rPr>
                <w:b w:val="false"/>
                <w:bCs w:val="false"/>
                <w:sz w:val="17"/>
                <w:szCs w:val="17"/>
              </w:rPr>
              <w:t xml:space="preserve">2</w:t>
            </w:r>
          </w:p>
        </w:tc>
        <w:tc>
          <w:tcPr>
            <w:tcW w:type="dxa" w:w="8460"/>
            <w:shd w:fill="EAF2F6" w:val="clear"/>
            <w:tcMar>
              <w:top w:type="dxa" w:w="55"/>
              <w:left w:type="dxa" w:w="90"/>
              <w:bottom w:type="dxa" w:w="55"/>
              <w:right w:type="dxa" w:w="90"/>
            </w:tcMar>
          </w:tcPr>
          <w:p>
            <w:r>
              <w:rPr>
                <w:b w:val="false"/>
                <w:bCs w:val="false"/>
                <w:sz w:val="17"/>
                <w:szCs w:val="17"/>
              </w:rPr>
              <w:t xml:space="preserve">Serve the built output locally: npm run preview (or equivalent static serve) — NOT npm run dev.</w:t>
            </w:r>
          </w:p>
        </w:tc>
      </w:tr>
      <w:tr>
        <w:tc>
          <w:tcPr>
            <w:tcW w:type="dxa" w:w="900"/>
            <w:tcMar>
              <w:top w:type="dxa" w:w="55"/>
              <w:left w:type="dxa" w:w="90"/>
              <w:bottom w:type="dxa" w:w="55"/>
              <w:right w:type="dxa" w:w="90"/>
            </w:tcMar>
          </w:tcPr>
          <w:p>
            <w:r>
              <w:rPr>
                <w:b w:val="false"/>
                <w:bCs w:val="false"/>
                <w:sz w:val="17"/>
                <w:szCs w:val="17"/>
              </w:rPr>
              <w:t xml:space="preserve">3</w:t>
            </w:r>
          </w:p>
        </w:tc>
        <w:tc>
          <w:tcPr>
            <w:tcW w:type="dxa" w:w="8460"/>
            <w:tcMar>
              <w:top w:type="dxa" w:w="55"/>
              <w:left w:type="dxa" w:w="90"/>
              <w:bottom w:type="dxa" w:w="55"/>
              <w:right w:type="dxa" w:w="90"/>
            </w:tcMar>
          </w:tcPr>
          <w:p>
            <w:r>
              <w:rPr>
                <w:b w:val="false"/>
                <w:bCs w:val="false"/>
                <w:sz w:val="17"/>
                <w:szCs w:val="17"/>
              </w:rPr>
              <w:t xml:space="preserve">Open the served build in a browser. Confirm: no tenant dropdown, no role dropdown, no 'Continue' button, no 'Dev login —...' text. Only the production login (Task B) should appear.</w:t>
            </w:r>
          </w:p>
        </w:tc>
      </w:tr>
      <w:tr>
        <w:tc>
          <w:tcPr>
            <w:tcW w:type="dxa" w:w="900"/>
            <w:shd w:fill="EAF2F6" w:val="clear"/>
            <w:tcMar>
              <w:top w:type="dxa" w:w="55"/>
              <w:left w:type="dxa" w:w="90"/>
              <w:bottom w:type="dxa" w:w="55"/>
              <w:right w:type="dxa" w:w="90"/>
            </w:tcMar>
          </w:tcPr>
          <w:p>
            <w:r>
              <w:rPr>
                <w:b w:val="false"/>
                <w:bCs w:val="false"/>
                <w:sz w:val="17"/>
                <w:szCs w:val="17"/>
              </w:rPr>
              <w:t xml:space="preserve">4</w:t>
            </w:r>
          </w:p>
        </w:tc>
        <w:tc>
          <w:tcPr>
            <w:tcW w:type="dxa" w:w="8460"/>
            <w:shd w:fill="EAF2F6" w:val="clear"/>
            <w:tcMar>
              <w:top w:type="dxa" w:w="55"/>
              <w:left w:type="dxa" w:w="90"/>
              <w:bottom w:type="dxa" w:w="55"/>
              <w:right w:type="dxa" w:w="90"/>
            </w:tcMar>
          </w:tcPr>
          <w:p>
            <w:r>
              <w:rPr>
                <w:b w:val="false"/>
                <w:bCs w:val="false"/>
                <w:sz w:val="17"/>
                <w:szCs w:val="17"/>
              </w:rPr>
              <w:t xml:space="preserve">If the dev picker still appears in this build, STOP — this is a real gating bug, higher priority than the visual work in Task B. Fix the conditional (import.meta.env.DEV / VITE_ALLOW_DEV_TOKENS check) before proceeding.</w:t>
            </w:r>
          </w:p>
        </w:tc>
      </w:tr>
      <w:tr>
        <w:tc>
          <w:tcPr>
            <w:tcW w:type="dxa" w:w="900"/>
            <w:tcMar>
              <w:top w:type="dxa" w:w="55"/>
              <w:left w:type="dxa" w:w="90"/>
              <w:bottom w:type="dxa" w:w="55"/>
              <w:right w:type="dxa" w:w="90"/>
            </w:tcMar>
          </w:tcPr>
          <w:p>
            <w:r>
              <w:rPr>
                <w:b w:val="false"/>
                <w:bCs w:val="false"/>
                <w:sz w:val="17"/>
                <w:szCs w:val="17"/>
              </w:rPr>
              <w:t xml:space="preserve">5</w:t>
            </w:r>
          </w:p>
        </w:tc>
        <w:tc>
          <w:tcPr>
            <w:tcW w:type="dxa" w:w="8460"/>
            <w:tcMar>
              <w:top w:type="dxa" w:w="55"/>
              <w:left w:type="dxa" w:w="90"/>
              <w:bottom w:type="dxa" w:w="55"/>
              <w:right w:type="dxa" w:w="90"/>
            </w:tcMar>
          </w:tcPr>
          <w:p>
            <w:r>
              <w:rPr>
                <w:b w:val="false"/>
                <w:bCs w:val="false"/>
                <w:sz w:val="17"/>
                <w:szCs w:val="17"/>
              </w:rPr>
              <w:t xml:space="preserve">Screenshot the production-mode build and confirm with the team lead before moving to Task B.</w:t>
            </w:r>
          </w:p>
        </w:tc>
      </w:tr>
    </w:tbl>
    <w:p>
      <w:pPr>
        <w:spacing w:after="150"/>
      </w:pPr>
    </w:p>
    <w:p>
      <w:pPr>
        <w:pStyle w:val="Heading1"/>
        <w:spacing w:after="120" w:before="280"/>
      </w:pPr>
      <w:r>
        <w:rPr>
          <w:color w:val="1F4E5F"/>
        </w:rPr>
        <w:t xml:space="preserve">3. Task B — Rebuild the Screen (both dev and production variants)</w:t>
      </w:r>
    </w:p>
    <w:p>
      <w:pPr>
        <w:spacing w:after="120" w:line="284"/>
        <w:jc w:val="both"/>
      </w:pPr>
      <w:r>
        <w:rPr>
          <w:sz w:val="22"/>
          <w:szCs w:val="22"/>
        </w:rPr>
        <w:t xml:space="preserve">Follow the existing MediGo design system exactly (CLAUDE.md — hms-web, Part 1). Do not invent new colors, fonts, or shapes — every value below is already defined in src/ui/tokens.css.</w:t>
      </w:r>
    </w:p>
    <w:p>
      <w:pPr>
        <w:pStyle w:val="Heading2"/>
        <w:spacing w:after="80" w:before="190"/>
      </w:pPr>
      <w:r>
        <w:rPr>
          <w:color w:val="2E86AB"/>
        </w:rPr>
        <w:t xml:space="preserve">3.1 Production / staging variant (what the client and every real user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4E5F" w:val="clear"/>
            <w:tcMar>
              <w:top w:type="dxa" w:w="55"/>
              <w:left w:type="dxa" w:w="90"/>
              <w:bottom w:type="dxa" w:w="55"/>
              <w:right w:type="dxa" w:w="90"/>
            </w:tcMar>
          </w:tcPr>
          <w:p>
            <w:r>
              <w:rPr>
                <w:b/>
                <w:bCs/>
                <w:color w:val="FFFFFF"/>
                <w:sz w:val="17"/>
                <w:szCs w:val="17"/>
              </w:rPr>
              <w:t xml:space="preserve">Zone</w:t>
            </w:r>
          </w:p>
        </w:tc>
        <w:tc>
          <w:tcPr>
            <w:tcW w:type="dxa" w:w="7460"/>
            <w:shd w:fill="1F4E5F" w:val="clear"/>
            <w:tcMar>
              <w:top w:type="dxa" w:w="55"/>
              <w:left w:type="dxa" w:w="90"/>
              <w:bottom w:type="dxa" w:w="55"/>
              <w:right w:type="dxa" w:w="90"/>
            </w:tcMar>
          </w:tcPr>
          <w:p>
            <w:r>
              <w:rPr>
                <w:b/>
                <w:bCs/>
                <w:color w:val="FFFFFF"/>
                <w:sz w:val="17"/>
                <w:szCs w:val="17"/>
              </w:rPr>
              <w:t xml:space="preserve">Spec</w:t>
            </w:r>
          </w:p>
        </w:tc>
      </w:tr>
      <w:tr>
        <w:tc>
          <w:tcPr>
            <w:tcW w:type="dxa" w:w="1900"/>
            <w:tcMar>
              <w:top w:type="dxa" w:w="55"/>
              <w:left w:type="dxa" w:w="90"/>
              <w:bottom w:type="dxa" w:w="55"/>
              <w:right w:type="dxa" w:w="90"/>
            </w:tcMar>
          </w:tcPr>
          <w:p>
            <w:r>
              <w:rPr>
                <w:b w:val="false"/>
                <w:bCs w:val="false"/>
                <w:sz w:val="17"/>
                <w:szCs w:val="17"/>
              </w:rPr>
              <w:t xml:space="preserve">Background</w:t>
            </w:r>
          </w:p>
        </w:tc>
        <w:tc>
          <w:tcPr>
            <w:tcW w:type="dxa" w:w="7460"/>
            <w:tcMar>
              <w:top w:type="dxa" w:w="55"/>
              <w:left w:type="dxa" w:w="90"/>
              <w:bottom w:type="dxa" w:w="55"/>
              <w:right w:type="dxa" w:w="90"/>
            </w:tcMar>
          </w:tcPr>
          <w:p>
            <w:r>
              <w:rPr>
                <w:b w:val="false"/>
                <w:bCs w:val="false"/>
                <w:sz w:val="17"/>
                <w:szCs w:val="17"/>
              </w:rPr>
              <w:t xml:space="preserve">Sky wash gradient, --wash-a → --wash-b, full viewport. Card centered.</w:t>
            </w:r>
          </w:p>
        </w:tc>
      </w:tr>
      <w:tr>
        <w:tc>
          <w:tcPr>
            <w:tcW w:type="dxa" w:w="1900"/>
            <w:shd w:fill="EAF2F6" w:val="clear"/>
            <w:tcMar>
              <w:top w:type="dxa" w:w="55"/>
              <w:left w:type="dxa" w:w="90"/>
              <w:bottom w:type="dxa" w:w="55"/>
              <w:right w:type="dxa" w:w="90"/>
            </w:tcMar>
          </w:tcPr>
          <w:p>
            <w:r>
              <w:rPr>
                <w:b w:val="false"/>
                <w:bCs w:val="false"/>
                <w:sz w:val="17"/>
                <w:szCs w:val="17"/>
              </w:rPr>
              <w:t xml:space="preserve">Card</w:t>
            </w:r>
          </w:p>
        </w:tc>
        <w:tc>
          <w:tcPr>
            <w:tcW w:type="dxa" w:w="7460"/>
            <w:shd w:fill="EAF2F6" w:val="clear"/>
            <w:tcMar>
              <w:top w:type="dxa" w:w="55"/>
              <w:left w:type="dxa" w:w="90"/>
              <w:bottom w:type="dxa" w:w="55"/>
              <w:right w:type="dxa" w:w="90"/>
            </w:tcMar>
          </w:tcPr>
          <w:p>
            <w:r>
              <w:rPr>
                <w:b w:val="false"/>
                <w:bCs w:val="false"/>
                <w:sz w:val="17"/>
                <w:szCs w:val="17"/>
              </w:rPr>
              <w:t xml:space="preserve">White, --r-card (22px) radius, --shadow-card. Padding ~40px. Max-width ~420px.</w:t>
            </w:r>
          </w:p>
        </w:tc>
      </w:tr>
      <w:tr>
        <w:tc>
          <w:tcPr>
            <w:tcW w:type="dxa" w:w="1900"/>
            <w:tcMar>
              <w:top w:type="dxa" w:w="55"/>
              <w:left w:type="dxa" w:w="90"/>
              <w:bottom w:type="dxa" w:w="55"/>
              <w:right w:type="dxa" w:w="90"/>
            </w:tcMar>
          </w:tcPr>
          <w:p>
            <w:r>
              <w:rPr>
                <w:b w:val="false"/>
                <w:bCs w:val="false"/>
                <w:sz w:val="17"/>
                <w:szCs w:val="17"/>
              </w:rPr>
              <w:t xml:space="preserve">Logo / wordmark</w:t>
            </w:r>
          </w:p>
        </w:tc>
        <w:tc>
          <w:tcPr>
            <w:tcW w:type="dxa" w:w="7460"/>
            <w:tcMar>
              <w:top w:type="dxa" w:w="55"/>
              <w:left w:type="dxa" w:w="90"/>
              <w:bottom w:type="dxa" w:w="55"/>
              <w:right w:type="dxa" w:w="90"/>
            </w:tcMar>
          </w:tcPr>
          <w:p>
            <w:r>
              <w:rPr>
                <w:b w:val="false"/>
                <w:bCs w:val="false"/>
                <w:sz w:val="17"/>
                <w:szCs w:val="17"/>
              </w:rPr>
              <w:t xml:space="preserve">MediGo wordmark at the top of the card, --font-display (Baloo 2, 700), --indigo. This is currently MISSING and is the single biggest fix — add it.</w:t>
            </w:r>
          </w:p>
        </w:tc>
      </w:tr>
      <w:tr>
        <w:tc>
          <w:tcPr>
            <w:tcW w:type="dxa" w:w="1900"/>
            <w:shd w:fill="EAF2F6" w:val="clear"/>
            <w:tcMar>
              <w:top w:type="dxa" w:w="55"/>
              <w:left w:type="dxa" w:w="90"/>
              <w:bottom w:type="dxa" w:w="55"/>
              <w:right w:type="dxa" w:w="90"/>
            </w:tcMar>
          </w:tcPr>
          <w:p>
            <w:r>
              <w:rPr>
                <w:b w:val="false"/>
                <w:bCs w:val="false"/>
                <w:sz w:val="17"/>
                <w:szCs w:val="17"/>
              </w:rPr>
              <w:t xml:space="preserve">Tagline</w:t>
            </w:r>
          </w:p>
        </w:tc>
        <w:tc>
          <w:tcPr>
            <w:tcW w:type="dxa" w:w="7460"/>
            <w:shd w:fill="EAF2F6" w:val="clear"/>
            <w:tcMar>
              <w:top w:type="dxa" w:w="55"/>
              <w:left w:type="dxa" w:w="90"/>
              <w:bottom w:type="dxa" w:w="55"/>
              <w:right w:type="dxa" w:w="90"/>
            </w:tcMar>
          </w:tcPr>
          <w:p>
            <w:r>
              <w:rPr>
                <w:b w:val="false"/>
                <w:bCs w:val="false"/>
                <w:sz w:val="17"/>
                <w:szCs w:val="17"/>
              </w:rPr>
              <w:t xml:space="preserve">One line, --font-body, --slate, e.g. 'Sign in to your clinic workspace.' Plain, no marketing adjectives (per tone rules).</w:t>
            </w:r>
          </w:p>
        </w:tc>
      </w:tr>
      <w:tr>
        <w:tc>
          <w:tcPr>
            <w:tcW w:type="dxa" w:w="1900"/>
            <w:tcMar>
              <w:top w:type="dxa" w:w="55"/>
              <w:left w:type="dxa" w:w="90"/>
              <w:bottom w:type="dxa" w:w="55"/>
              <w:right w:type="dxa" w:w="90"/>
            </w:tcMar>
          </w:tcPr>
          <w:p>
            <w:r>
              <w:rPr>
                <w:b w:val="false"/>
                <w:bCs w:val="false"/>
                <w:sz w:val="17"/>
                <w:szCs w:val="17"/>
              </w:rPr>
              <w:t xml:space="preserve">Primary action</w:t>
            </w:r>
          </w:p>
        </w:tc>
        <w:tc>
          <w:tcPr>
            <w:tcW w:type="dxa" w:w="7460"/>
            <w:tcMar>
              <w:top w:type="dxa" w:w="55"/>
              <w:left w:type="dxa" w:w="90"/>
              <w:bottom w:type="dxa" w:w="55"/>
              <w:right w:type="dxa" w:w="90"/>
            </w:tcMar>
          </w:tcPr>
          <w:p>
            <w:r>
              <w:rPr>
                <w:b w:val="false"/>
                <w:bCs w:val="false"/>
                <w:sz w:val="17"/>
                <w:szCs w:val="17"/>
              </w:rPr>
              <w:t xml:space="preserve">ONE pill button, --indigo background, white text, full card width: 'Log in with your organization' — or simply 'Log in'. This triggers the Keycloak OIDC PKCE redirect directly. No visible mention of 'Keycloak' or 'OIDC' or 'PKCE' — those are implementation details, not user-facing language (per writing rules: name things by what people control, not how the system is built).</w:t>
            </w:r>
          </w:p>
        </w:tc>
      </w:tr>
      <w:tr>
        <w:tc>
          <w:tcPr>
            <w:tcW w:type="dxa" w:w="1900"/>
            <w:shd w:fill="EAF2F6" w:val="clear"/>
            <w:tcMar>
              <w:top w:type="dxa" w:w="55"/>
              <w:left w:type="dxa" w:w="90"/>
              <w:bottom w:type="dxa" w:w="55"/>
              <w:right w:type="dxa" w:w="90"/>
            </w:tcMar>
          </w:tcPr>
          <w:p>
            <w:r>
              <w:rPr>
                <w:b w:val="false"/>
                <w:bCs w:val="false"/>
                <w:sz w:val="17"/>
                <w:szCs w:val="17"/>
              </w:rPr>
              <w:t xml:space="preserve">Everything else</w:t>
            </w:r>
          </w:p>
        </w:tc>
        <w:tc>
          <w:tcPr>
            <w:tcW w:type="dxa" w:w="7460"/>
            <w:shd w:fill="EAF2F6" w:val="clear"/>
            <w:tcMar>
              <w:top w:type="dxa" w:w="55"/>
              <w:left w:type="dxa" w:w="90"/>
              <w:bottom w:type="dxa" w:w="55"/>
              <w:right w:type="dxa" w:w="90"/>
            </w:tcMar>
          </w:tcPr>
          <w:p>
            <w:r>
              <w:rPr>
                <w:b w:val="false"/>
                <w:bCs w:val="false"/>
                <w:sz w:val="17"/>
                <w:szCs w:val="17"/>
              </w:rPr>
              <w:t xml:space="preserve">NOTHING else on this screen in production. No tenant field, no role field, no 'OR' divider, no second button, no dev-login text.</w:t>
            </w:r>
          </w:p>
        </w:tc>
      </w:tr>
      <w:tr>
        <w:tc>
          <w:tcPr>
            <w:tcW w:type="dxa" w:w="1900"/>
            <w:tcMar>
              <w:top w:type="dxa" w:w="55"/>
              <w:left w:type="dxa" w:w="90"/>
              <w:bottom w:type="dxa" w:w="55"/>
              <w:right w:type="dxa" w:w="90"/>
            </w:tcMar>
          </w:tcPr>
          <w:p>
            <w:r>
              <w:rPr>
                <w:b w:val="false"/>
                <w:bCs w:val="false"/>
                <w:sz w:val="17"/>
                <w:szCs w:val="17"/>
              </w:rPr>
              <w:t xml:space="preserve">Language toggle</w:t>
            </w:r>
          </w:p>
        </w:tc>
        <w:tc>
          <w:tcPr>
            <w:tcW w:type="dxa" w:w="7460"/>
            <w:tcMar>
              <w:top w:type="dxa" w:w="55"/>
              <w:left w:type="dxa" w:w="90"/>
              <w:bottom w:type="dxa" w:w="55"/>
              <w:right w:type="dxa" w:w="90"/>
            </w:tcMar>
          </w:tcPr>
          <w:p>
            <w:r>
              <w:rPr>
                <w:b w:val="false"/>
                <w:bCs w:val="false"/>
                <w:sz w:val="17"/>
                <w:szCs w:val="17"/>
              </w:rPr>
              <w:t xml:space="preserve">EN / TE toggle, small, top-right of the card or header — this is a legitimate first-run decision, keep it.</w:t>
            </w:r>
          </w:p>
        </w:tc>
      </w:tr>
      <w:tr>
        <w:tc>
          <w:tcPr>
            <w:tcW w:type="dxa" w:w="1900"/>
            <w:shd w:fill="EAF2F6" w:val="clear"/>
            <w:tcMar>
              <w:top w:type="dxa" w:w="55"/>
              <w:left w:type="dxa" w:w="90"/>
              <w:bottom w:type="dxa" w:w="55"/>
              <w:right w:type="dxa" w:w="90"/>
            </w:tcMar>
          </w:tcPr>
          <w:p>
            <w:r>
              <w:rPr>
                <w:b w:val="false"/>
                <w:bCs w:val="false"/>
                <w:sz w:val="17"/>
                <w:szCs w:val="17"/>
              </w:rPr>
              <w:t xml:space="preserve">Footer</w:t>
            </w:r>
          </w:p>
        </w:tc>
        <w:tc>
          <w:tcPr>
            <w:tcW w:type="dxa" w:w="7460"/>
            <w:shd w:fill="EAF2F6" w:val="clear"/>
            <w:tcMar>
              <w:top w:type="dxa" w:w="55"/>
              <w:left w:type="dxa" w:w="90"/>
              <w:bottom w:type="dxa" w:w="55"/>
              <w:right w:type="dxa" w:w="90"/>
            </w:tcMar>
          </w:tcPr>
          <w:p>
            <w:r>
              <w:rPr>
                <w:b w:val="false"/>
                <w:bCs w:val="false"/>
                <w:sz w:val="17"/>
                <w:szCs w:val="17"/>
              </w:rPr>
              <w:t xml:space="preserve">Small, --slate: support contact / version, per the original landing-page spec.</w:t>
            </w:r>
          </w:p>
        </w:tc>
      </w:tr>
    </w:tbl>
    <w:p>
      <w:pPr>
        <w:spacing w:after="150"/>
      </w:pPr>
    </w:p>
    <w:p>
      <w:pPr>
        <w:pStyle w:val="Heading2"/>
        <w:spacing w:after="80" w:before="190"/>
      </w:pPr>
      <w:r>
        <w:rPr>
          <w:color w:val="2E86AB"/>
        </w:rPr>
        <w:t xml:space="preserve">3.2 Local development variant (what your own team sees on npm run dev)</w:t>
      </w:r>
    </w:p>
    <w:p>
      <w:pPr>
        <w:spacing w:after="120" w:line="284"/>
        <w:jc w:val="both"/>
      </w:pPr>
      <w:r>
        <w:rPr>
          <w:sz w:val="22"/>
          <w:szCs w:val="22"/>
        </w:rPr>
        <w:t xml:space="preserve">Keep the shortcut — your team needs it daily — but stop it from dominating the screen. It becomes a secondary, clearly-labeled developer affordance, not a peer of the real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4E5F" w:val="clear"/>
            <w:tcMar>
              <w:top w:type="dxa" w:w="55"/>
              <w:left w:type="dxa" w:w="90"/>
              <w:bottom w:type="dxa" w:w="55"/>
              <w:right w:type="dxa" w:w="90"/>
            </w:tcMar>
          </w:tcPr>
          <w:p>
            <w:r>
              <w:rPr>
                <w:b/>
                <w:bCs/>
                <w:color w:val="FFFFFF"/>
                <w:sz w:val="17"/>
                <w:szCs w:val="17"/>
              </w:rPr>
              <w:t xml:space="preserve">Zone</w:t>
            </w:r>
          </w:p>
        </w:tc>
        <w:tc>
          <w:tcPr>
            <w:tcW w:type="dxa" w:w="7460"/>
            <w:shd w:fill="1F4E5F" w:val="clear"/>
            <w:tcMar>
              <w:top w:type="dxa" w:w="55"/>
              <w:left w:type="dxa" w:w="90"/>
              <w:bottom w:type="dxa" w:w="55"/>
              <w:right w:type="dxa" w:w="90"/>
            </w:tcMar>
          </w:tcPr>
          <w:p>
            <w:r>
              <w:rPr>
                <w:b/>
                <w:bCs/>
                <w:color w:val="FFFFFF"/>
                <w:sz w:val="17"/>
                <w:szCs w:val="17"/>
              </w:rPr>
              <w:t xml:space="preserve">Spec</w:t>
            </w:r>
          </w:p>
        </w:tc>
      </w:tr>
      <w:tr>
        <w:tc>
          <w:tcPr>
            <w:tcW w:type="dxa" w:w="1900"/>
            <w:tcMar>
              <w:top w:type="dxa" w:w="55"/>
              <w:left w:type="dxa" w:w="90"/>
              <w:bottom w:type="dxa" w:w="55"/>
              <w:right w:type="dxa" w:w="90"/>
            </w:tcMar>
          </w:tcPr>
          <w:p>
            <w:r>
              <w:rPr>
                <w:b w:val="false"/>
                <w:bCs w:val="false"/>
                <w:sz w:val="17"/>
                <w:szCs w:val="17"/>
              </w:rPr>
              <w:t xml:space="preserve">Primary action</w:t>
            </w:r>
          </w:p>
        </w:tc>
        <w:tc>
          <w:tcPr>
            <w:tcW w:type="dxa" w:w="7460"/>
            <w:tcMar>
              <w:top w:type="dxa" w:w="55"/>
              <w:left w:type="dxa" w:w="90"/>
              <w:bottom w:type="dxa" w:w="55"/>
              <w:right w:type="dxa" w:w="90"/>
            </w:tcMar>
          </w:tcPr>
          <w:p>
            <w:r>
              <w:rPr>
                <w:b w:val="false"/>
                <w:bCs w:val="false"/>
                <w:sz w:val="17"/>
                <w:szCs w:val="17"/>
              </w:rPr>
              <w:t xml:space="preserve">Same as production: the 'Log in' button is still the visually dominant element, full width, top of the action area.</w:t>
            </w:r>
          </w:p>
        </w:tc>
      </w:tr>
      <w:tr>
        <w:tc>
          <w:tcPr>
            <w:tcW w:type="dxa" w:w="1900"/>
            <w:shd w:fill="EAF2F6" w:val="clear"/>
            <w:tcMar>
              <w:top w:type="dxa" w:w="55"/>
              <w:left w:type="dxa" w:w="90"/>
              <w:bottom w:type="dxa" w:w="55"/>
              <w:right w:type="dxa" w:w="90"/>
            </w:tcMar>
          </w:tcPr>
          <w:p>
            <w:r>
              <w:rPr>
                <w:b w:val="false"/>
                <w:bCs w:val="false"/>
                <w:sz w:val="17"/>
                <w:szCs w:val="17"/>
              </w:rPr>
              <w:t xml:space="preserve">Developer login</w:t>
            </w:r>
          </w:p>
        </w:tc>
        <w:tc>
          <w:tcPr>
            <w:tcW w:type="dxa" w:w="7460"/>
            <w:shd w:fill="EAF2F6" w:val="clear"/>
            <w:tcMar>
              <w:top w:type="dxa" w:w="55"/>
              <w:left w:type="dxa" w:w="90"/>
              <w:bottom w:type="dxa" w:w="55"/>
              <w:right w:type="dxa" w:w="90"/>
            </w:tcMar>
          </w:tcPr>
          <w:p>
            <w:r>
              <w:rPr>
                <w:b w:val="false"/>
                <w:bCs w:val="false"/>
                <w:sz w:val="17"/>
                <w:szCs w:val="17"/>
              </w:rPr>
              <w:t xml:space="preserve">Below the primary button, a small text link or disclosure: 'Developer login ▾'. Collapsed by default.</w:t>
            </w:r>
          </w:p>
        </w:tc>
      </w:tr>
      <w:tr>
        <w:tc>
          <w:tcPr>
            <w:tcW w:type="dxa" w:w="1900"/>
            <w:tcMar>
              <w:top w:type="dxa" w:w="55"/>
              <w:left w:type="dxa" w:w="90"/>
              <w:bottom w:type="dxa" w:w="55"/>
              <w:right w:type="dxa" w:w="90"/>
            </w:tcMar>
          </w:tcPr>
          <w:p>
            <w:r>
              <w:rPr>
                <w:b w:val="false"/>
                <w:bCs w:val="false"/>
                <w:sz w:val="17"/>
                <w:szCs w:val="17"/>
              </w:rPr>
              <w:t xml:space="preserve">On expand</w:t>
            </w:r>
          </w:p>
        </w:tc>
        <w:tc>
          <w:tcPr>
            <w:tcW w:type="dxa" w:w="7460"/>
            <w:tcMar>
              <w:top w:type="dxa" w:w="55"/>
              <w:left w:type="dxa" w:w="90"/>
              <w:bottom w:type="dxa" w:w="55"/>
              <w:right w:type="dxa" w:w="90"/>
            </w:tcMar>
          </w:tcPr>
          <w:p>
            <w:r>
              <w:rPr>
                <w:b w:val="false"/>
                <w:bCs w:val="false"/>
                <w:sz w:val="17"/>
                <w:szCs w:val="17"/>
              </w:rPr>
              <w:t xml:space="preserve">Reveals the tenant + role selects and a smaller 'Continue' button, styled as clearly secondary (e.g. --line border, --slate text, no drop shadow) — visually subordinate to the primary action above it.</w:t>
            </w:r>
          </w:p>
        </w:tc>
      </w:tr>
      <w:tr>
        <w:tc>
          <w:tcPr>
            <w:tcW w:type="dxa" w:w="1900"/>
            <w:shd w:fill="EAF2F6" w:val="clear"/>
            <w:tcMar>
              <w:top w:type="dxa" w:w="55"/>
              <w:left w:type="dxa" w:w="90"/>
              <w:bottom w:type="dxa" w:w="55"/>
              <w:right w:type="dxa" w:w="90"/>
            </w:tcMar>
          </w:tcPr>
          <w:p>
            <w:r>
              <w:rPr>
                <w:b w:val="false"/>
                <w:bCs w:val="false"/>
                <w:sz w:val="17"/>
                <w:szCs w:val="17"/>
              </w:rPr>
              <w:t xml:space="preserve">Copy</w:t>
            </w:r>
          </w:p>
        </w:tc>
        <w:tc>
          <w:tcPr>
            <w:tcW w:type="dxa" w:w="7460"/>
            <w:shd w:fill="EAF2F6" w:val="clear"/>
            <w:tcMar>
              <w:top w:type="dxa" w:w="55"/>
              <w:left w:type="dxa" w:w="90"/>
              <w:bottom w:type="dxa" w:w="55"/>
              <w:right w:type="dxa" w:w="90"/>
            </w:tcMar>
          </w:tcPr>
          <w:p>
            <w:r>
              <w:rPr>
                <w:b w:val="false"/>
                <w:bCs w:val="false"/>
                <w:sz w:val="17"/>
                <w:szCs w:val="17"/>
              </w:rPr>
              <w:t xml:space="preserve">Replace the raw engineering comment with a short, plain, user-facing line if any text is shown at all: 'For local testing only.' Do not surface FRD IDs (e.g. 'IAM-001') or code comments in any rendered UI text, ever — that class of string belongs in code comments, not in i18n resource files.</w:t>
            </w:r>
          </w:p>
        </w:tc>
      </w:tr>
    </w:tbl>
    <w:p>
      <w:pPr>
        <w:spacing w:after="150"/>
      </w:pPr>
    </w:p>
    <w:p>
      <w:pPr>
        <w:pStyle w:val="Heading1"/>
        <w:spacing w:after="120" w:before="280"/>
      </w:pPr>
      <w:r>
        <w:rPr>
          <w:color w:val="1F4E5F"/>
        </w:rPr>
        <w:t xml:space="preserve">4. Copy — Exact Strings to Use</w:t>
      </w:r>
    </w:p>
    <w:p>
      <w:pPr>
        <w:spacing w:after="120" w:line="284"/>
        <w:jc w:val="both"/>
      </w:pPr>
      <w:r>
        <w:rPr>
          <w:sz w:val="22"/>
          <w:szCs w:val="22"/>
        </w:rPr>
        <w:t xml:space="preserve">Replace the i18n keys directly; do not leave implementation language in user-facing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60"/>
      </w:tblGrid>
      <w:tr>
        <w:trPr>
          <w:tblHeader/>
        </w:trPr>
        <w:tc>
          <w:tcPr>
            <w:tcW w:type="dxa" w:w="1700"/>
            <w:shd w:fill="1F4E5F" w:val="clear"/>
            <w:tcMar>
              <w:top w:type="dxa" w:w="55"/>
              <w:left w:type="dxa" w:w="90"/>
              <w:bottom w:type="dxa" w:w="55"/>
              <w:right w:type="dxa" w:w="90"/>
            </w:tcMar>
          </w:tcPr>
          <w:p>
            <w:r>
              <w:rPr>
                <w:b/>
                <w:bCs/>
                <w:color w:val="FFFFFF"/>
                <w:sz w:val="17"/>
                <w:szCs w:val="17"/>
              </w:rPr>
              <w:t xml:space="preserve">Key</w:t>
            </w:r>
          </w:p>
        </w:tc>
        <w:tc>
          <w:tcPr>
            <w:tcW w:type="dxa" w:w="3600"/>
            <w:shd w:fill="1F4E5F" w:val="clear"/>
            <w:tcMar>
              <w:top w:type="dxa" w:w="55"/>
              <w:left w:type="dxa" w:w="90"/>
              <w:bottom w:type="dxa" w:w="55"/>
              <w:right w:type="dxa" w:w="90"/>
            </w:tcMar>
          </w:tcPr>
          <w:p>
            <w:r>
              <w:rPr>
                <w:b/>
                <w:bCs/>
                <w:color w:val="FFFFFF"/>
                <w:sz w:val="17"/>
                <w:szCs w:val="17"/>
              </w:rPr>
              <w:t xml:space="preserve">Current value (wrong)</w:t>
            </w:r>
          </w:p>
        </w:tc>
        <w:tc>
          <w:tcPr>
            <w:tcW w:type="dxa" w:w="4060"/>
            <w:shd w:fill="1F4E5F" w:val="clear"/>
            <w:tcMar>
              <w:top w:type="dxa" w:w="55"/>
              <w:left w:type="dxa" w:w="90"/>
              <w:bottom w:type="dxa" w:w="55"/>
              <w:right w:type="dxa" w:w="90"/>
            </w:tcMar>
          </w:tcPr>
          <w:p>
            <w:r>
              <w:rPr>
                <w:b/>
                <w:bCs/>
                <w:color w:val="FFFFFF"/>
                <w:sz w:val="17"/>
                <w:szCs w:val="17"/>
              </w:rPr>
              <w:t xml:space="preserve">New value</w:t>
            </w:r>
          </w:p>
        </w:tc>
      </w:tr>
      <w:tr>
        <w:tc>
          <w:tcPr>
            <w:tcW w:type="dxa" w:w="1700"/>
            <w:tcMar>
              <w:top w:type="dxa" w:w="55"/>
              <w:left w:type="dxa" w:w="90"/>
              <w:bottom w:type="dxa" w:w="55"/>
              <w:right w:type="dxa" w:w="90"/>
            </w:tcMar>
          </w:tcPr>
          <w:p>
            <w:r>
              <w:rPr>
                <w:b w:val="false"/>
                <w:bCs w:val="false"/>
                <w:sz w:val="17"/>
                <w:szCs w:val="17"/>
              </w:rPr>
              <w:t xml:space="preserve">sign_in</w:t>
            </w:r>
          </w:p>
        </w:tc>
        <w:tc>
          <w:tcPr>
            <w:tcW w:type="dxa" w:w="3600"/>
            <w:tcMar>
              <w:top w:type="dxa" w:w="55"/>
              <w:left w:type="dxa" w:w="90"/>
              <w:bottom w:type="dxa" w:w="55"/>
              <w:right w:type="dxa" w:w="90"/>
            </w:tcMar>
          </w:tcPr>
          <w:p>
            <w:r>
              <w:rPr>
                <w:b w:val="false"/>
                <w:bCs w:val="false"/>
                <w:sz w:val="17"/>
                <w:szCs w:val="17"/>
              </w:rPr>
              <w:t xml:space="preserve">Sign in</w:t>
            </w:r>
          </w:p>
        </w:tc>
        <w:tc>
          <w:tcPr>
            <w:tcW w:type="dxa" w:w="4060"/>
            <w:tcMar>
              <w:top w:type="dxa" w:w="55"/>
              <w:left w:type="dxa" w:w="90"/>
              <w:bottom w:type="dxa" w:w="55"/>
              <w:right w:type="dxa" w:w="90"/>
            </w:tcMar>
          </w:tcPr>
          <w:p>
            <w:r>
              <w:rPr>
                <w:b w:val="false"/>
                <w:bCs w:val="false"/>
                <w:sz w:val="17"/>
                <w:szCs w:val="17"/>
              </w:rPr>
              <w:t xml:space="preserve">Sign in  (fine as-is — keep)</w:t>
            </w:r>
          </w:p>
        </w:tc>
      </w:tr>
      <w:tr>
        <w:tc>
          <w:tcPr>
            <w:tcW w:type="dxa" w:w="1700"/>
            <w:shd w:fill="EAF2F6" w:val="clear"/>
            <w:tcMar>
              <w:top w:type="dxa" w:w="55"/>
              <w:left w:type="dxa" w:w="90"/>
              <w:bottom w:type="dxa" w:w="55"/>
              <w:right w:type="dxa" w:w="90"/>
            </w:tcMar>
          </w:tcPr>
          <w:p>
            <w:r>
              <w:rPr>
                <w:b w:val="false"/>
                <w:bCs w:val="false"/>
                <w:sz w:val="17"/>
                <w:szCs w:val="17"/>
              </w:rPr>
              <w:t xml:space="preserve">dev_login_desc</w:t>
            </w:r>
          </w:p>
        </w:tc>
        <w:tc>
          <w:tcPr>
            <w:tcW w:type="dxa" w:w="3600"/>
            <w:shd w:fill="EAF2F6" w:val="clear"/>
            <w:tcMar>
              <w:top w:type="dxa" w:w="55"/>
              <w:left w:type="dxa" w:w="90"/>
              <w:bottom w:type="dxa" w:w="55"/>
              <w:right w:type="dxa" w:w="90"/>
            </w:tcMar>
          </w:tcPr>
          <w:p>
            <w:r>
              <w:rPr>
                <w:b w:val="false"/>
                <w:bCs w:val="false"/>
                <w:sz w:val="17"/>
                <w:szCs w:val="17"/>
              </w:rPr>
              <w:t xml:space="preserve">Dev login — replaced by OIDC/Keycloak (IAM-001) with no screen changes.</w:t>
            </w:r>
          </w:p>
        </w:tc>
        <w:tc>
          <w:tcPr>
            <w:tcW w:type="dxa" w:w="4060"/>
            <w:shd w:fill="EAF2F6" w:val="clear"/>
            <w:tcMar>
              <w:top w:type="dxa" w:w="55"/>
              <w:left w:type="dxa" w:w="90"/>
              <w:bottom w:type="dxa" w:w="55"/>
              <w:right w:type="dxa" w:w="90"/>
            </w:tcMar>
          </w:tcPr>
          <w:p>
            <w:r>
              <w:rPr>
                <w:b w:val="false"/>
                <w:bCs w:val="false"/>
                <w:sz w:val="17"/>
                <w:szCs w:val="17"/>
              </w:rPr>
              <w:t xml:space="preserve">For local testing only.</w:t>
            </w:r>
          </w:p>
        </w:tc>
      </w:tr>
      <w:tr>
        <w:tc>
          <w:tcPr>
            <w:tcW w:type="dxa" w:w="1700"/>
            <w:tcMar>
              <w:top w:type="dxa" w:w="55"/>
              <w:left w:type="dxa" w:w="90"/>
              <w:bottom w:type="dxa" w:w="55"/>
              <w:right w:type="dxa" w:w="90"/>
            </w:tcMar>
          </w:tcPr>
          <w:p>
            <w:r>
              <w:rPr>
                <w:b w:val="false"/>
                <w:bCs w:val="false"/>
                <w:sz w:val="17"/>
                <w:szCs w:val="17"/>
              </w:rPr>
              <w:t xml:space="preserve">login_primary_cta</w:t>
            </w:r>
          </w:p>
        </w:tc>
        <w:tc>
          <w:tcPr>
            <w:tcW w:type="dxa" w:w="3600"/>
            <w:tcMar>
              <w:top w:type="dxa" w:w="55"/>
              <w:left w:type="dxa" w:w="90"/>
              <w:bottom w:type="dxa" w:w="55"/>
              <w:right w:type="dxa" w:w="90"/>
            </w:tcMar>
          </w:tcPr>
          <w:p>
            <w:r>
              <w:rPr>
                <w:b w:val="false"/>
                <w:bCs w:val="false"/>
                <w:sz w:val="17"/>
                <w:szCs w:val="17"/>
              </w:rPr>
              <w:t xml:space="preserve">(new)</w:t>
            </w:r>
          </w:p>
        </w:tc>
        <w:tc>
          <w:tcPr>
            <w:tcW w:type="dxa" w:w="4060"/>
            <w:tcMar>
              <w:top w:type="dxa" w:w="55"/>
              <w:left w:type="dxa" w:w="90"/>
              <w:bottom w:type="dxa" w:w="55"/>
              <w:right w:type="dxa" w:w="90"/>
            </w:tcMar>
          </w:tcPr>
          <w:p>
            <w:r>
              <w:rPr>
                <w:b w:val="false"/>
                <w:bCs w:val="false"/>
                <w:sz w:val="17"/>
                <w:szCs w:val="17"/>
              </w:rPr>
              <w:t xml:space="preserve">Log in</w:t>
            </w:r>
          </w:p>
        </w:tc>
      </w:tr>
      <w:tr>
        <w:tc>
          <w:tcPr>
            <w:tcW w:type="dxa" w:w="1700"/>
            <w:shd w:fill="EAF2F6" w:val="clear"/>
            <w:tcMar>
              <w:top w:type="dxa" w:w="55"/>
              <w:left w:type="dxa" w:w="90"/>
              <w:bottom w:type="dxa" w:w="55"/>
              <w:right w:type="dxa" w:w="90"/>
            </w:tcMar>
          </w:tcPr>
          <w:p>
            <w:r>
              <w:rPr>
                <w:b w:val="false"/>
                <w:bCs w:val="false"/>
                <w:sz w:val="17"/>
                <w:szCs w:val="17"/>
              </w:rPr>
              <w:t xml:space="preserve">login_tagline</w:t>
            </w:r>
          </w:p>
        </w:tc>
        <w:tc>
          <w:tcPr>
            <w:tcW w:type="dxa" w:w="3600"/>
            <w:shd w:fill="EAF2F6" w:val="clear"/>
            <w:tcMar>
              <w:top w:type="dxa" w:w="55"/>
              <w:left w:type="dxa" w:w="90"/>
              <w:bottom w:type="dxa" w:w="55"/>
              <w:right w:type="dxa" w:w="90"/>
            </w:tcMar>
          </w:tcPr>
          <w:p>
            <w:r>
              <w:rPr>
                <w:b w:val="false"/>
                <w:bCs w:val="false"/>
                <w:sz w:val="17"/>
                <w:szCs w:val="17"/>
              </w:rPr>
              <w:t xml:space="preserve">(new)</w:t>
            </w:r>
          </w:p>
        </w:tc>
        <w:tc>
          <w:tcPr>
            <w:tcW w:type="dxa" w:w="4060"/>
            <w:shd w:fill="EAF2F6" w:val="clear"/>
            <w:tcMar>
              <w:top w:type="dxa" w:w="55"/>
              <w:left w:type="dxa" w:w="90"/>
              <w:bottom w:type="dxa" w:w="55"/>
              <w:right w:type="dxa" w:w="90"/>
            </w:tcMar>
          </w:tcPr>
          <w:p>
            <w:r>
              <w:rPr>
                <w:b w:val="false"/>
                <w:bCs w:val="false"/>
                <w:sz w:val="17"/>
                <w:szCs w:val="17"/>
              </w:rPr>
              <w:t xml:space="preserve">Sign in to your clinic workspace.</w:t>
            </w:r>
          </w:p>
        </w:tc>
      </w:tr>
      <w:tr>
        <w:tc>
          <w:tcPr>
            <w:tcW w:type="dxa" w:w="1700"/>
            <w:tcMar>
              <w:top w:type="dxa" w:w="55"/>
              <w:left w:type="dxa" w:w="90"/>
              <w:bottom w:type="dxa" w:w="55"/>
              <w:right w:type="dxa" w:w="90"/>
            </w:tcMar>
          </w:tcPr>
          <w:p>
            <w:r>
              <w:rPr>
                <w:b w:val="false"/>
                <w:bCs w:val="false"/>
                <w:sz w:val="17"/>
                <w:szCs w:val="17"/>
              </w:rPr>
              <w:t xml:space="preserve">dev_login_toggle</w:t>
            </w:r>
          </w:p>
        </w:tc>
        <w:tc>
          <w:tcPr>
            <w:tcW w:type="dxa" w:w="3600"/>
            <w:tcMar>
              <w:top w:type="dxa" w:w="55"/>
              <w:left w:type="dxa" w:w="90"/>
              <w:bottom w:type="dxa" w:w="55"/>
              <w:right w:type="dxa" w:w="90"/>
            </w:tcMar>
          </w:tcPr>
          <w:p>
            <w:r>
              <w:rPr>
                <w:b w:val="false"/>
                <w:bCs w:val="false"/>
                <w:sz w:val="17"/>
                <w:szCs w:val="17"/>
              </w:rPr>
              <w:t xml:space="preserve">(new)</w:t>
            </w:r>
          </w:p>
        </w:tc>
        <w:tc>
          <w:tcPr>
            <w:tcW w:type="dxa" w:w="4060"/>
            <w:tcMar>
              <w:top w:type="dxa" w:w="55"/>
              <w:left w:type="dxa" w:w="90"/>
              <w:bottom w:type="dxa" w:w="55"/>
              <w:right w:type="dxa" w:w="90"/>
            </w:tcMar>
          </w:tcPr>
          <w:p>
            <w:r>
              <w:rPr>
                <w:b w:val="false"/>
                <w:bCs w:val="false"/>
                <w:sz w:val="17"/>
                <w:szCs w:val="17"/>
              </w:rPr>
              <w:t xml:space="preserve">Developer login</w:t>
            </w:r>
          </w:p>
        </w:tc>
      </w:tr>
    </w:tbl>
    <w:p>
      <w:pPr>
        <w:spacing w:after="120" w:line="284"/>
        <w:jc w:val="both"/>
      </w:pPr>
      <w:r>
        <w:rPr>
          <w:i/>
          <w:iCs/>
          <w:color w:val="555555"/>
          <w:sz w:val="20"/>
          <w:szCs w:val="20"/>
        </w:rPr>
        <w:t xml:space="preserve">Update both en and te entries in src/i18n.ts for every new key. Confirm no key is left showing to a user as its raw key name — the earlier NO_I18NEXT_INSTANCE bug is fixed, but do a manual check of this screen specifically after these changes.</w:t>
      </w:r>
    </w:p>
    <w:p>
      <w:pPr>
        <w:spacing w:after="150"/>
      </w:pPr>
    </w:p>
    <w:p>
      <w:pPr>
        <w:pStyle w:val="Heading1"/>
        <w:spacing w:after="120" w:before="280"/>
      </w:pPr>
      <w:r>
        <w:rPr>
          <w:color w:val="1F4E5F"/>
        </w:rPr>
        <w:t xml:space="preserve">5. 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shd w:fill="1F4E5F" w:val="clear"/>
            <w:tcMar>
              <w:top w:type="dxa" w:w="55"/>
              <w:left w:type="dxa" w:w="90"/>
              <w:bottom w:type="dxa" w:w="55"/>
              <w:right w:type="dxa" w:w="90"/>
            </w:tcMar>
          </w:tcPr>
          <w:p>
            <w:r>
              <w:rPr>
                <w:b/>
                <w:bCs/>
                <w:color w:val="FFFFFF"/>
                <w:sz w:val="17"/>
                <w:szCs w:val="17"/>
              </w:rPr>
              <w:t xml:space="preserve">#</w:t>
            </w:r>
          </w:p>
        </w:tc>
        <w:tc>
          <w:tcPr>
            <w:tcW w:type="dxa" w:w="8860"/>
            <w:shd w:fill="1F4E5F" w:val="clear"/>
            <w:tcMar>
              <w:top w:type="dxa" w:w="55"/>
              <w:left w:type="dxa" w:w="90"/>
              <w:bottom w:type="dxa" w:w="55"/>
              <w:right w:type="dxa" w:w="90"/>
            </w:tcMar>
          </w:tcPr>
          <w:p>
            <w:r>
              <w:rPr>
                <w:b/>
                <w:bCs/>
                <w:color w:val="FFFFFF"/>
                <w:sz w:val="17"/>
                <w:szCs w:val="17"/>
              </w:rPr>
              <w:t xml:space="preserve">Check</w:t>
            </w:r>
          </w:p>
        </w:tc>
      </w:tr>
      <w:tr>
        <w:tc>
          <w:tcPr>
            <w:tcW w:type="dxa" w:w="500"/>
            <w:tcMar>
              <w:top w:type="dxa" w:w="55"/>
              <w:left w:type="dxa" w:w="90"/>
              <w:bottom w:type="dxa" w:w="55"/>
              <w:right w:type="dxa" w:w="90"/>
            </w:tcMar>
          </w:tcPr>
          <w:p>
            <w:r>
              <w:rPr>
                <w:b w:val="false"/>
                <w:bCs w:val="false"/>
                <w:sz w:val="17"/>
                <w:szCs w:val="17"/>
              </w:rPr>
              <w:t xml:space="preserve">1</w:t>
            </w:r>
          </w:p>
        </w:tc>
        <w:tc>
          <w:tcPr>
            <w:tcW w:type="dxa" w:w="8860"/>
            <w:tcMar>
              <w:top w:type="dxa" w:w="55"/>
              <w:left w:type="dxa" w:w="90"/>
              <w:bottom w:type="dxa" w:w="55"/>
              <w:right w:type="dxa" w:w="90"/>
            </w:tcMar>
          </w:tcPr>
          <w:p>
            <w:r>
              <w:rPr>
                <w:b w:val="false"/>
                <w:bCs w:val="false"/>
                <w:sz w:val="17"/>
                <w:szCs w:val="17"/>
              </w:rPr>
              <w:t xml:space="preserve">npm run build with production-mode env vars, served and viewed in a browser, shows ONLY the logo, tagline, language toggle, and single 'Log in' button. No dev picker, no engineering copy.</w:t>
            </w:r>
          </w:p>
        </w:tc>
      </w:tr>
      <w:tr>
        <w:tc>
          <w:tcPr>
            <w:tcW w:type="dxa" w:w="500"/>
            <w:shd w:fill="EAF2F6" w:val="clear"/>
            <w:tcMar>
              <w:top w:type="dxa" w:w="55"/>
              <w:left w:type="dxa" w:w="90"/>
              <w:bottom w:type="dxa" w:w="55"/>
              <w:right w:type="dxa" w:w="90"/>
            </w:tcMar>
          </w:tcPr>
          <w:p>
            <w:r>
              <w:rPr>
                <w:b w:val="false"/>
                <w:bCs w:val="false"/>
                <w:sz w:val="17"/>
                <w:szCs w:val="17"/>
              </w:rPr>
              <w:t xml:space="preserve">2</w:t>
            </w:r>
          </w:p>
        </w:tc>
        <w:tc>
          <w:tcPr>
            <w:tcW w:type="dxa" w:w="8860"/>
            <w:shd w:fill="EAF2F6" w:val="clear"/>
            <w:tcMar>
              <w:top w:type="dxa" w:w="55"/>
              <w:left w:type="dxa" w:w="90"/>
              <w:bottom w:type="dxa" w:w="55"/>
              <w:right w:type="dxa" w:w="90"/>
            </w:tcMar>
          </w:tcPr>
          <w:p>
            <w:r>
              <w:rPr>
                <w:b w:val="false"/>
                <w:bCs w:val="false"/>
                <w:sz w:val="17"/>
                <w:szCs w:val="17"/>
              </w:rPr>
              <w:t xml:space="preserve">npm run dev shows the same primary login, with the developer picker present but visually secondary and collapsed by default.</w:t>
            </w:r>
          </w:p>
        </w:tc>
      </w:tr>
      <w:tr>
        <w:tc>
          <w:tcPr>
            <w:tcW w:type="dxa" w:w="500"/>
            <w:tcMar>
              <w:top w:type="dxa" w:w="55"/>
              <w:left w:type="dxa" w:w="90"/>
              <w:bottom w:type="dxa" w:w="55"/>
              <w:right w:type="dxa" w:w="90"/>
            </w:tcMar>
          </w:tcPr>
          <w:p>
            <w:r>
              <w:rPr>
                <w:b w:val="false"/>
                <w:bCs w:val="false"/>
                <w:sz w:val="17"/>
                <w:szCs w:val="17"/>
              </w:rPr>
              <w:t xml:space="preserve">3</w:t>
            </w:r>
          </w:p>
        </w:tc>
        <w:tc>
          <w:tcPr>
            <w:tcW w:type="dxa" w:w="8860"/>
            <w:tcMar>
              <w:top w:type="dxa" w:w="55"/>
              <w:left w:type="dxa" w:w="90"/>
              <w:bottom w:type="dxa" w:w="55"/>
              <w:right w:type="dxa" w:w="90"/>
            </w:tcMar>
          </w:tcPr>
          <w:p>
            <w:r>
              <w:rPr>
                <w:b w:val="false"/>
                <w:bCs w:val="false"/>
                <w:sz w:val="17"/>
                <w:szCs w:val="17"/>
              </w:rPr>
              <w:t xml:space="preserve">No FRD ID, code comment, or implementation term (Keycloak, OIDC, PKCE, IAM-001) appears in any rendered, user-facing string on this screen.</w:t>
            </w:r>
          </w:p>
        </w:tc>
      </w:tr>
      <w:tr>
        <w:tc>
          <w:tcPr>
            <w:tcW w:type="dxa" w:w="500"/>
            <w:shd w:fill="EAF2F6" w:val="clear"/>
            <w:tcMar>
              <w:top w:type="dxa" w:w="55"/>
              <w:left w:type="dxa" w:w="90"/>
              <w:bottom w:type="dxa" w:w="55"/>
              <w:right w:type="dxa" w:w="90"/>
            </w:tcMar>
          </w:tcPr>
          <w:p>
            <w:r>
              <w:rPr>
                <w:b w:val="false"/>
                <w:bCs w:val="false"/>
                <w:sz w:val="17"/>
                <w:szCs w:val="17"/>
              </w:rPr>
              <w:t xml:space="preserve">4</w:t>
            </w:r>
          </w:p>
        </w:tc>
        <w:tc>
          <w:tcPr>
            <w:tcW w:type="dxa" w:w="8860"/>
            <w:shd w:fill="EAF2F6" w:val="clear"/>
            <w:tcMar>
              <w:top w:type="dxa" w:w="55"/>
              <w:left w:type="dxa" w:w="90"/>
              <w:bottom w:type="dxa" w:w="55"/>
              <w:right w:type="dxa" w:w="90"/>
            </w:tcMar>
          </w:tcPr>
          <w:p>
            <w:r>
              <w:rPr>
                <w:b w:val="false"/>
                <w:bCs w:val="false"/>
                <w:sz w:val="17"/>
                <w:szCs w:val="17"/>
              </w:rPr>
              <w:t xml:space="preserve">Both en and te render correctly — no raw i18n keys visible, in both the dev and production variants.</w:t>
            </w:r>
          </w:p>
        </w:tc>
      </w:tr>
      <w:tr>
        <w:tc>
          <w:tcPr>
            <w:tcW w:type="dxa" w:w="500"/>
            <w:tcMar>
              <w:top w:type="dxa" w:w="55"/>
              <w:left w:type="dxa" w:w="90"/>
              <w:bottom w:type="dxa" w:w="55"/>
              <w:right w:type="dxa" w:w="90"/>
            </w:tcMar>
          </w:tcPr>
          <w:p>
            <w:r>
              <w:rPr>
                <w:b w:val="false"/>
                <w:bCs w:val="false"/>
                <w:sz w:val="17"/>
                <w:szCs w:val="17"/>
              </w:rPr>
              <w:t xml:space="preserve">5</w:t>
            </w:r>
          </w:p>
        </w:tc>
        <w:tc>
          <w:tcPr>
            <w:tcW w:type="dxa" w:w="8860"/>
            <w:tcMar>
              <w:top w:type="dxa" w:w="55"/>
              <w:left w:type="dxa" w:w="90"/>
              <w:bottom w:type="dxa" w:w="55"/>
              <w:right w:type="dxa" w:w="90"/>
            </w:tcMar>
          </w:tcPr>
          <w:p>
            <w:r>
              <w:rPr>
                <w:b w:val="false"/>
                <w:bCs w:val="false"/>
                <w:sz w:val="17"/>
                <w:szCs w:val="17"/>
              </w:rPr>
              <w:t xml:space="preserve">Screenshot of the production-mode build attached to the PR for review before merge.</w:t>
            </w:r>
          </w:p>
        </w:tc>
      </w:tr>
    </w:tbl>
    <w:p>
      <w:pPr>
        <w:spacing w:after="150"/>
      </w:pPr>
    </w:p>
    <w:p>
      <w:pPr>
        <w:spacing w:after="120" w:line="284"/>
        <w:jc w:val="both"/>
      </w:pPr>
      <w:r>
        <w:rPr>
          <w:sz w:val="22"/>
          <w:szCs w:val="22"/>
        </w:rPr>
        <w:t xml:space="preserve">This is a small, contained fix — most of the work is confirming the existing environment gate actually works, plus adding the missing MediGo wordmark and demoting the dev picker. It should not require new design tokens or new components beyond what src/ui already provides.</w:t>
      </w:r>
    </w:p>
    <w:sectPr>
      <w:footerReference w:type="default" r:id="rId7"/>
      <w:pgSz w:w="12240" w:h="15840" w:orient="portrait"/>
      <w:pgMar w:top="1150" w:right="940" w:bottom="115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Login Screen — Implementation Spec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sz w:val="29"/>
      <w:szCs w:val="29"/>
    </w:rPr>
  </w:style>
  <w:style w:type="paragraph" w:styleId="Heading2">
    <w:name w:val="Heading 2"/>
    <w:basedOn w:val="Normal"/>
    <w:next w:val="Normal"/>
    <w:qFormat/>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2026-07-25T19:55:51.153Z</dcterms:created>
  <dcterms:modified xsi:type="dcterms:W3CDTF">2026-07-25T19:55:51.169Z</dcterms:modified>
</cp:coreProperties>
</file>

<file path=docProps/custom.xml><?xml version="1.0" encoding="utf-8"?>
<Properties xmlns="http://schemas.openxmlformats.org/officeDocument/2006/custom-properties" xmlns:vt="http://schemas.openxmlformats.org/officeDocument/2006/docPropsVTypes"/>
</file>